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ORÇAMENTO COMERCIAL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Orçamento: {{ID_ORCAMENTO}}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de emissão: {{DATA_PROCESSAMENTO}}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Validade: {{VALIDADE_ATE}}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DO CLIENTE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Empresa: {{NOME_EMPRESA}}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PRODUTO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Tipo de embalagem: {{TIPO_EMBALAGEM}}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Material: {{MATERIAL}}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Dimensões: {{DIMENSOES}}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Quantidade: {{QUANTIDADE}}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Número de cores: {{NUMERO_CORES}}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Prazo solicitado: {{PRAZO_DIAS}} dias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COMPOSIÇÃO DO PREÇO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Preço base unitário: {{PRECO_BASE_UNITARIO}}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Adicional por cores: {{ADICIONAL_CORES}}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Adicional por acabamento: {{ADICIONAL_ACABAMENTO}}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 de preparação/setup: {{SETUP}}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Subtotal: {{SUBTOTAL}}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Adicional de urgência: {{PERCENTUAL_URGENCIA}}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TOTAL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{{VALOR_TOTAL}}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Código da regra utilizada: {{CODIGO_REGRA}}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Este orçamento é válido até {{VALIDADE_ATE}}.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