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Cell CNS Figure 使用教程</w:t>
      </w:r>
    </w:p>
    <w:p>
      <w:pPr>
        <w:spacing w:before="0" w:after="280" w:line="324" w:lineRule="auto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  <w:t>用文章摘要或核心研究文字，完成从布局图到高级科研图的生成。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26"/>
        </w:rPr>
        <w:t>第一次安装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把下面这句话发给 Codex，等待安装完成。</w:t>
      </w:r>
    </w:p>
    <w:p>
      <w:pPr>
        <w:spacing w:after="160" w:line="324" w:lineRule="auto"/>
        <w:ind w:left="454" w:right="454"/>
      </w:pPr>
      <w:r>
        <w:rPr>
          <w:rFonts w:ascii="Microsoft YaHei" w:hAnsi="Microsoft YaHei" w:eastAsia="Microsoft YaHei"/>
          <w:b w:val="0"/>
          <w:color w:val="1F4E78"/>
          <w:sz w:val="21"/>
        </w:rPr>
        <w:t>请从 https://github.com/yrui-cmd/Cell_CNS_Figure 安装 cell-cns-figure，并将仓库 dependencies/xiaomiao-api-setup 安装为同级 Skill。</w:t>
      </w:r>
    </w:p>
    <w:p>
      <w:pPr>
        <w:spacing w:before="0"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安装完成后即可开始使用。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26"/>
        </w:rPr>
        <w:t>开始前准备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只需要准备两样东西：文章摘要或核心研究文字，以及可用的小描 API Key 或服务端签发的邀请码。</w:t>
      </w:r>
    </w:p>
    <w:p>
      <w:pPr>
        <w:spacing w:before="0"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第一次使用时，可直接在聊天中粘贴 API Key 或邀请码，或按提示填写配置文件。系统会自动查询余额，聊天中不会显示完整凭据。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26"/>
        </w:rPr>
        <w:t>四步完成科研图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701"/>
        <w:gridCol w:w="6576"/>
      </w:tblGrid>
      <w:tr>
        <w:trPr>
          <w:tblHeader w:val="true"/>
        </w:trPr>
        <w:tc>
          <w:tcPr>
            <w:tcW w:type="dxa" w:w="332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步骤</w:t>
            </w:r>
          </w:p>
        </w:tc>
        <w:tc>
          <w:tcPr>
            <w:tcW w:type="dxa" w:w="332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332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1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发送研究文字</w:t>
            </w:r>
          </w:p>
        </w:tc>
        <w:tc>
          <w:tcPr>
            <w:tcW w:type="dxa" w:w="65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把文章摘要或核心研究文字发给智能体。图片、题目或一句话主题不能替代研究文字。</w:t>
            </w:r>
          </w:p>
        </w:tc>
      </w:tr>
      <w:tr>
        <w:tc>
          <w:tcPr>
            <w:tcW w:type="dxa" w:w="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3F7FB"/>
          </w:tcPr>
          <w:p>
            <w:pPr>
              <w:spacing w:after="80" w:before="8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2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3F7FB"/>
          </w:tcPr>
          <w:p>
            <w:pPr>
              <w:spacing w:after="80" w:before="80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确认布局图 A</w:t>
            </w:r>
          </w:p>
        </w:tc>
        <w:tc>
          <w:tcPr>
            <w:tcW w:type="dxa" w:w="65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3F7FB"/>
          </w:tcPr>
          <w:p>
            <w:pPr>
              <w:spacing w:after="80" w:before="8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系统显示实时余额后，确认制作布局图 A。此阶段扣 10 次额度。</w:t>
            </w:r>
          </w:p>
        </w:tc>
      </w:tr>
      <w:tr>
        <w:tc>
          <w:tcPr>
            <w:tcW w:type="dxa" w:w="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3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选择高级图 B</w:t>
            </w:r>
          </w:p>
        </w:tc>
        <w:tc>
          <w:tcPr>
            <w:tcW w:type="dxa" w:w="65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图 A 返回后，可选择是否继续高级设计图 B。此阶段另扣 45 次额度。</w:t>
            </w:r>
          </w:p>
        </w:tc>
      </w:tr>
      <w:tr>
        <w:tc>
          <w:tcPr>
            <w:tcW w:type="dxa" w:w="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3F7FB"/>
          </w:tcPr>
          <w:p>
            <w:pPr>
              <w:spacing w:after="80" w:before="8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4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3F7FB"/>
          </w:tcPr>
          <w:p>
            <w:pPr>
              <w:spacing w:after="80" w:before="80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自动领取结果</w:t>
            </w:r>
          </w:p>
        </w:tc>
        <w:tc>
          <w:tcPr>
            <w:tcW w:type="dxa" w:w="65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3F7FB"/>
          </w:tcPr>
          <w:p>
            <w:pPr>
              <w:spacing w:after="80" w:before="8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图 A 每 3 分钟检查一次；图 B 每 10 分钟检查一次，并返回 PNG 和可编辑 PPTX。</w:t>
            </w:r>
          </w:p>
        </w:tc>
      </w:tr>
    </w:tbl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26"/>
        </w:rPr>
        <w:t>这样发送即可</w:t>
      </w:r>
    </w:p>
    <w:p>
      <w:pPr>
        <w:spacing w:after="160" w:line="324" w:lineRule="auto"/>
        <w:ind w:left="454" w:right="454"/>
      </w:pPr>
      <w:r>
        <w:rPr>
          <w:rFonts w:ascii="Microsoft YaHei" w:hAnsi="Microsoft YaHei" w:eastAsia="Microsoft YaHei"/>
          <w:b w:val="0"/>
          <w:color w:val="1F4E78"/>
          <w:sz w:val="21"/>
        </w:rPr>
        <w:t>使用 Cell CNS Figure，帮我画一张科研图。</w:t>
        <w:br/>
      </w:r>
      <w:r>
        <w:rPr>
          <w:rFonts w:ascii="Microsoft YaHei" w:hAnsi="Microsoft YaHei" w:eastAsia="Microsoft YaHei"/>
          <w:b w:val="0"/>
          <w:color w:val="1F4E78"/>
          <w:sz w:val="21"/>
        </w:rPr>
        <w:br/>
      </w:r>
      <w:r>
        <w:rPr>
          <w:rFonts w:ascii="Microsoft YaHei" w:hAnsi="Microsoft YaHei" w:eastAsia="Microsoft YaHei"/>
          <w:b w:val="0"/>
          <w:color w:val="1F4E78"/>
          <w:sz w:val="21"/>
        </w:rPr>
        <w:t>这是我的文章摘要：</w:t>
        <w:br/>
      </w:r>
      <w:r>
        <w:rPr>
          <w:rFonts w:ascii="Microsoft YaHei" w:hAnsi="Microsoft YaHei" w:eastAsia="Microsoft YaHei"/>
          <w:b w:val="0"/>
          <w:color w:val="1F4E78"/>
          <w:sz w:val="21"/>
        </w:rPr>
        <w:t>（在这里粘贴文章摘要或核心研究文字）</w:t>
        <w:br/>
      </w:r>
    </w:p>
    <w:p>
      <w:pPr>
        <w:spacing w:before="0"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随后按聊天提示回复“开始”或“继续”即可。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26"/>
        </w:rPr>
        <w:t>费用和结果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3"/>
        <w:gridCol w:w="2948"/>
      </w:tblGrid>
      <w:tr>
        <w:trPr>
          <w:tblHeader w:val="true"/>
        </w:trPr>
        <w:tc>
          <w:tcPr>
            <w:tcW w:type="dxa" w:w="498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选择</w:t>
            </w:r>
          </w:p>
        </w:tc>
        <w:tc>
          <w:tcPr>
            <w:tcW w:type="dxa" w:w="498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费用</w:t>
            </w:r>
          </w:p>
        </w:tc>
      </w:tr>
      <w:tr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布局图 A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10 次额度</w:t>
            </w:r>
          </w:p>
        </w:tc>
      </w:tr>
      <w:tr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3F7FB"/>
          </w:tcPr>
          <w:p>
            <w:pPr>
              <w:spacing w:before="80" w:after="8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高级设计图 B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  <w:shd w:fill="F3F7FB"/>
          </w:tcPr>
          <w:p>
            <w:pPr>
              <w:spacing w:before="80" w:after="8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45 次额度</w:t>
            </w:r>
          </w:p>
        </w:tc>
      </w:tr>
      <w:tr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 和 B 都做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55 次额度</w:t>
            </w:r>
          </w:p>
        </w:tc>
      </w:tr>
    </w:tbl>
    <w:p>
      <w:pPr>
        <w:spacing w:before="0" w:after="16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每个阶段开始前都会显示实时余额并单独确认。提交成功后开始设计，额度不退；下载结果不会再次扣费。高级图 B 完成后会提供 PNG 和可编辑 PPTX。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000000"/>
          <w:sz w:val="26"/>
        </w:rPr>
        <w:t>遇到问题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没有研究文字：先整理研究对象、核心发现、主要方法和结论，再发送。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想停止：直接说“停”。系统会停止本地检查，并如实说明远端任务状态。</w:t>
      </w:r>
    </w:p>
    <w:p>
      <w:pPr>
        <w:spacing w:before="0" w:after="28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等待超过 1 小时：可联系抖音「木纹」主页群询问处理情况。</w:t>
      </w:r>
    </w:p>
    <w:p>
      <w:pPr>
        <w:spacing w:before="0" w:after="0" w:line="324" w:lineRule="auto"/>
        <w:jc w:val="center"/>
      </w:pPr>
      <w:r>
        <w:rPr>
          <w:rFonts w:ascii="Microsoft YaHei" w:hAnsi="Microsoft YaHei" w:eastAsia="Microsoft YaHei"/>
          <w:b/>
          <w:color w:val="000000"/>
          <w:sz w:val="21"/>
        </w:rPr>
        <w:t>感谢抖音：木纹</w:t>
      </w:r>
    </w:p>
    <w:sectPr w:rsidR="00FC693F" w:rsidRPr="0006063C" w:rsidSect="00034616">
      <w:footerReference w:type="default" r:id="rId9"/>
      <w:pgSz w:w="12240" w:h="15840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7"/>
      </w:rPr>
      <w:t>Cell CNS Figure 使用教程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 CNS Figure 使用教程</dc:title>
  <dc:subject>使用说明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