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Cell CNS Figure 客户使用教程</w:t>
      </w:r>
    </w:p>
    <w:p>
      <w:pPr>
        <w:spacing w:before="0" w:after="280" w:line="324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  <w:t>用文章摘要或核心研究文字，完成从布局图到高级科研图的生成。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开始前准备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只需要准备两样东西：文章摘要或核心研究文字，以及可用的小描 API Key。</w:t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第一次使用时，可直接在聊天中粘贴 API Key，或按提示填写配置文件。系统会自动查询余额，聊天中不会显示完整密钥。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四步完成科研图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701"/>
        <w:gridCol w:w="6576"/>
      </w:tblGrid>
      <w:tr>
        <w:trPr>
          <w:tblHeader w:val="true"/>
        </w:trPr>
        <w:tc>
          <w:tcPr>
            <w:tcW w:type="dxa" w:w="33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3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33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发送研究文字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把文章摘要或核心研究文字发给智能体。图片、题目或一句话主题不能替代研究文字。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2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确认布局图 A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系统显示实时余额后，确认制作布局图 A。此阶段扣 5 次额度。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选择高级图 B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图 A 返回后，可选择是否继续高级设计图 B。此阶段另扣 20 次额度。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4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自动领取结果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图 A 每 3 分钟检查一次，图 B 每 10 分钟检查一次。图片返回后会自动发到当前聊天。</w:t>
            </w:r>
          </w:p>
        </w:tc>
      </w:tr>
    </w:tbl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这样发送即可</w:t>
      </w:r>
    </w:p>
    <w:p>
      <w:pPr>
        <w:spacing w:after="160" w:line="324" w:lineRule="auto"/>
        <w:ind w:left="454" w:right="454"/>
      </w:pPr>
      <w:r>
        <w:rPr>
          <w:rFonts w:ascii="Microsoft YaHei" w:hAnsi="Microsoft YaHei" w:eastAsia="Microsoft YaHei"/>
          <w:b w:val="0"/>
          <w:color w:val="1F4E78"/>
          <w:sz w:val="21"/>
        </w:rPr>
        <w:t>使用 Cell CNS Figure，帮我画一张科研图。</w:t>
        <w:br/>
      </w:r>
      <w:r>
        <w:rPr>
          <w:rFonts w:ascii="Microsoft YaHei" w:hAnsi="Microsoft YaHei" w:eastAsia="Microsoft YaHei"/>
          <w:b w:val="0"/>
          <w:color w:val="1F4E78"/>
          <w:sz w:val="21"/>
        </w:rPr>
        <w:br/>
      </w:r>
      <w:r>
        <w:rPr>
          <w:rFonts w:ascii="Microsoft YaHei" w:hAnsi="Microsoft YaHei" w:eastAsia="Microsoft YaHei"/>
          <w:b w:val="0"/>
          <w:color w:val="1F4E78"/>
          <w:sz w:val="21"/>
        </w:rPr>
        <w:t>这是我的文章摘要：</w:t>
        <w:br/>
      </w:r>
      <w:r>
        <w:rPr>
          <w:rFonts w:ascii="Microsoft YaHei" w:hAnsi="Microsoft YaHei" w:eastAsia="Microsoft YaHei"/>
          <w:b w:val="0"/>
          <w:color w:val="1F4E78"/>
          <w:sz w:val="21"/>
        </w:rPr>
        <w:t>（在这里粘贴文章摘要或核心研究文字）</w:t>
        <w:br/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随后按聊天提示回复“开始”或“继续”即可。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费用和结果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2948"/>
      </w:tblGrid>
      <w:tr>
        <w:trPr>
          <w:tblHeader w:val="true"/>
        </w:trPr>
        <w:tc>
          <w:tcPr>
            <w:tcW w:type="dxa" w:w="498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选择</w:t>
            </w:r>
          </w:p>
        </w:tc>
        <w:tc>
          <w:tcPr>
            <w:tcW w:type="dxa" w:w="498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费用</w:t>
            </w:r>
          </w:p>
        </w:tc>
      </w:tr>
      <w:tr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布局图 A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 次额度</w:t>
            </w:r>
          </w:p>
        </w:tc>
      </w:tr>
      <w:tr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高级设计图 B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 次额度</w:t>
            </w:r>
          </w:p>
        </w:tc>
      </w:tr>
      <w:tr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 和 B 都做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25 次额度</w:t>
            </w:r>
          </w:p>
        </w:tc>
      </w:tr>
    </w:tbl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每个阶段开始前都会显示实时余额并单独确认。提交成功后开始设计，额度不退；下载结果不会再次扣费。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遇到问题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没有研究文字：先整理研究对象、核心发现、主要方法和结论，再发送。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想停止：直接说“停”。系统会停止本地检查，并如实说明远端任务状态。</w:t>
      </w:r>
    </w:p>
    <w:p>
      <w:pPr>
        <w:spacing w:before="0" w:after="2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等待超过 1 小时：可联系抖音「木纹」主页群询问处理情况。</w:t>
      </w:r>
    </w:p>
    <w:p>
      <w:pPr>
        <w:spacing w:before="0" w:after="0" w:line="324" w:lineRule="auto"/>
        <w:jc w:val="center"/>
      </w:pPr>
      <w:r>
        <w:rPr>
          <w:rFonts w:ascii="Microsoft YaHei" w:hAnsi="Microsoft YaHei" w:eastAsia="Microsoft YaHei"/>
          <w:b/>
          <w:color w:val="000000"/>
          <w:sz w:val="21"/>
        </w:rPr>
        <w:t>感谢抖音：木纹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Cell CNS Figure 客户使用教程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 CNS Figure 客户使用教程</dc:title>
  <dc:subject>客户使用说明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