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6"/>
        </w:rPr>
        <w:t>KB Home</w:t>
      </w:r>
    </w:p>
    <w:p>
      <w:pPr>
        <w:jc w:val="center"/>
      </w:pPr>
      <w:r>
        <w:rPr>
          <w:color w:val="2F5496"/>
          <w:sz w:val="40"/>
        </w:rPr>
        <w:t>기업분석 종합 리포트 (US Equity, USD)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F5496"/>
          </w:tcPr>
          <w:p>
            <w:r>
              <w:rPr>
                <w:b/>
                <w:color w:val="FFFFFF"/>
              </w:rPr>
              <w:t>분석일자</w:t>
            </w:r>
          </w:p>
        </w:tc>
        <w:tc>
          <w:tcPr>
            <w:tcW w:type="dxa" w:w="4703"/>
          </w:tcPr>
          <w:p>
            <w:r>
              <w:t>2026-10-25</w:t>
            </w:r>
          </w:p>
        </w:tc>
      </w:tr>
      <w:tr>
        <w:tc>
          <w:tcPr>
            <w:tcW w:type="dxa" w:w="4703"/>
            <w:shd w:val="clear" w:color="auto" w:fill="2F5496"/>
          </w:tcPr>
          <w:p>
            <w:r>
              <w:rPr>
                <w:b/>
                <w:color w:val="FFFFFF"/>
              </w:rPr>
              <w:t>현재 주가</w:t>
            </w:r>
          </w:p>
        </w:tc>
        <w:tc>
          <w:tcPr>
            <w:tcW w:type="dxa" w:w="4703"/>
            <w:shd w:val="clear" w:color="auto" w:fill="F2F2F2"/>
          </w:tcPr>
          <w:p>
            <w:r>
              <w:t>$47.05</w:t>
            </w:r>
          </w:p>
        </w:tc>
      </w:tr>
      <w:tr>
        <w:tc>
          <w:tcPr>
            <w:tcW w:type="dxa" w:w="4703"/>
            <w:shd w:val="clear" w:color="auto" w:fill="2F5496"/>
          </w:tcPr>
          <w:p>
            <w:r>
              <w:rPr>
                <w:b/>
                <w:color w:val="FFFFFF"/>
              </w:rPr>
              <w:t>가중 평균 적정가</w:t>
            </w:r>
          </w:p>
        </w:tc>
        <w:tc>
          <w:tcPr>
            <w:tcW w:type="dxa" w:w="4703"/>
          </w:tcPr>
          <w:p>
            <w:r>
              <w:t>$49.44</w:t>
            </w:r>
          </w:p>
        </w:tc>
      </w:tr>
      <w:tr>
        <w:tc>
          <w:tcPr>
            <w:tcW w:type="dxa" w:w="4703"/>
            <w:shd w:val="clear" w:color="auto" w:fill="2F5496"/>
          </w:tcPr>
          <w:p>
            <w:r>
              <w:rPr>
                <w:b/>
                <w:color w:val="FFFFFF"/>
              </w:rPr>
              <w:t>적정가 범위</w:t>
            </w:r>
          </w:p>
        </w:tc>
        <w:tc>
          <w:tcPr>
            <w:tcW w:type="dxa" w:w="4703"/>
            <w:shd w:val="clear" w:color="auto" w:fill="F2F2F2"/>
          </w:tcPr>
          <w:p>
            <w:r>
              <w:t>$40.06 ~ $57.95</w:t>
            </w:r>
          </w:p>
        </w:tc>
      </w:tr>
      <w:tr>
        <w:tc>
          <w:tcPr>
            <w:tcW w:type="dxa" w:w="4703"/>
            <w:shd w:val="clear" w:color="auto" w:fill="2F5496"/>
          </w:tcPr>
          <w:p>
            <w:r>
              <w:rPr>
                <w:b/>
                <w:color w:val="FFFFFF"/>
              </w:rPr>
              <w:t>Upside/Downside</w:t>
            </w:r>
          </w:p>
        </w:tc>
        <w:tc>
          <w:tcPr>
            <w:tcW w:type="dxa" w:w="4703"/>
          </w:tcPr>
          <w:p>
            <w:r>
              <w:t>+5.1%</w:t>
            </w:r>
          </w:p>
        </w:tc>
      </w:tr>
    </w:tbl>
    <w:p>
      <w:r>
        <w:br w:type="page"/>
      </w:r>
    </w:p>
    <w:p/>
    <w:p>
      <w:pPr>
        <w:pStyle w:val="Heading2"/>
      </w:pPr>
      <w:r>
        <w:rPr>
          <w:b/>
          <w:color w:val="2F5496"/>
          <w:sz w:val="28"/>
        </w:rPr>
        <w:t>Executive Summary</w:t>
      </w:r>
    </w:p>
    <w:p/>
    <w:p>
      <w:pPr>
        <w:spacing w:after="120"/>
      </w:pPr>
      <w:r/>
      <w:r>
        <w:rPr>
          <w:b/>
        </w:rPr>
        <w:t>KB Home(KBH) 기업분석 요약 | 2026-10-25</w:t>
      </w:r>
      <w:r/>
    </w:p>
    <w:p>
      <w:pPr>
        <w:spacing w:after="120"/>
      </w:pPr>
      <w:r/>
      <w:r>
        <w:rPr>
          <w:b/>
        </w:rPr>
        <w:t>현재 주가 $47.05 | 가중 평균 적정가 $49.44 | Upside +5.1% | 현재가는 적정 범위($40.06~$57.95) 내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</w:rPr>
              <w:t>요약</w:t>
            </w:r>
          </w:p>
        </w:tc>
      </w:tr>
      <w:tr>
        <w:tc>
          <w:tcPr>
            <w:tcW w:type="dxa" w:w="4703"/>
          </w:tcPr>
          <w:p>
            <w:r>
              <w:t>비즈니스모델</w:t>
            </w:r>
          </w:p>
        </w:tc>
        <w:tc>
          <w:tcPr>
            <w:tcW w:type="dxa" w:w="4703"/>
          </w:tcPr>
          <w:p>
            <w:r>
              <w:t>미국 주택 건설사(첫 주택 구입자·무브업 대상, 50개 시장). 고객 주문 후 착공하는 Built-to-Order(BTO) 중심으로 복귀해 3Q26 인도분의 74%가 BTO. 규모·브랜드 우위는 제한적(Narrow)이고 주택 경기·금리에 민감한 사이클 업종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t>재무 실적</w:t>
            </w:r>
          </w:p>
        </w:tc>
        <w:tc>
          <w:tcPr>
            <w:tcW w:type="dxa" w:w="4703"/>
            <w:shd w:val="clear" w:color="auto" w:fill="F2F2F2"/>
          </w:tcPr>
          <w:p>
            <w:r>
              <w:t>FY2026 컨센서스 매출 $5.04B(-19%), EPS $3.23(-52%). 3Q26 매출 $1.30B(-20%), 순이익 $65.3M(-41%), 주택 총마진 16.5%(전년 18.2%). 자사주 매입으로 주식수 -11.8%(YoY), 차입금은 증가(부채/자본 35.7%)</w:t>
            </w:r>
          </w:p>
        </w:tc>
      </w:tr>
      <w:tr>
        <w:tc>
          <w:tcPr>
            <w:tcW w:type="dxa" w:w="4703"/>
          </w:tcPr>
          <w:p>
            <w:r>
              <w:t>산업 환경</w:t>
            </w:r>
          </w:p>
        </w:tc>
        <w:tc>
          <w:tcPr>
            <w:tcW w:type="dxa" w:w="4703"/>
          </w:tcPr>
          <w:p>
            <w:r>
              <w:t>연준이 2026-09-16 금리를 인상(3.75~4.00%)했고 30년 모기지 금리는 7.32%(전년 6.19%). 주택 수요는 약화 중이나 10월 하순 장기금리 하락으로 건설주 반등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t>애널리스트 시각</w:t>
            </w:r>
          </w:p>
        </w:tc>
        <w:tc>
          <w:tcPr>
            <w:tcW w:type="dxa" w:w="4703"/>
            <w:shd w:val="clear" w:color="auto" w:fill="F2F2F2"/>
          </w:tcPr>
          <w:p>
            <w:r>
              <w:t>17명 중 Buy 3 / Hold 10 / Strong Sell 4, 컨센서스 "Hold", 평균 목표주가 약 $51(범위 $34~$70). 10월 들어 KBW·Wells Fargo·RBC·Argus가 목표가 하향</w:t>
            </w:r>
          </w:p>
        </w:tc>
      </w:tr>
      <w:tr>
        <w:tc>
          <w:tcPr>
            <w:tcW w:type="dxa" w:w="4703"/>
          </w:tcPr>
          <w:p>
            <w:r>
              <w:t>밸류에이션</w:t>
            </w:r>
          </w:p>
        </w:tc>
        <w:tc>
          <w:tcPr>
            <w:tcW w:type="dxa" w:w="4703"/>
          </w:tcPr>
          <w:p>
            <w:r>
              <w:t>P/B 0.75x, 선행 P/E 13.7x. 가중 평균 적정가 $49.44. 자산가치 대비로는 할인이나 ROE 5.9%로 이익 기반 평가는 동종 대비 중립</w:t>
            </w:r>
          </w:p>
        </w:tc>
      </w:tr>
    </w:tbl>
    <w:p/>
    <w:p>
      <w:pPr>
        <w:spacing w:after="120"/>
      </w:pPr>
      <w:r/>
      <w:r>
        <w:rPr>
          <w:b/>
        </w:rPr>
        <w:t>핵심 포인트</w:t>
      </w:r>
      <w:r/>
    </w:p>
    <w:p/>
    <w:p>
      <w:pPr>
        <w:spacing w:after="120"/>
      </w:pPr>
      <w:r>
        <w:t>- ① (기회) BTO 전환 완료와 마진 회복세: 주택 총마진 15.3%(1Q) → 15.2%(2Q) → 16.5%(3Q). 3Q 수주잔고(4,398채, $2.05B)가 4년 만에 전년 대비 증가(금액 +3.2%) (← 회사 발표, 실적 콜)</w:t>
      </w:r>
    </w:p>
    <w:p>
      <w:pPr>
        <w:spacing w:after="120"/>
      </w:pPr>
      <w:r>
        <w:t>- ② (기회) 자사주 매입(3Q $50M, 4Q 최대 $50M 예정)과 배당($1.00/년, 수익률 약 2.1%)으로 주당 지표 방어. 10/22 장기금리 하락 시 주가 +6.2% 반응 — 금리 민감도가 높다는 의미</w:t>
      </w:r>
    </w:p>
    <w:p>
      <w:pPr>
        <w:spacing w:after="120"/>
      </w:pPr>
      <w:r>
        <w:t>- ③ (주의) 모기지 금리 7.3%대와 연준 인상으로 수요 회복이 지연되고, 전체 가이던스 마진이 하향(FY 16.0~16.2%, 기존 16.1~16.5%). 순주문 3Q -12%(건수 기준)</w:t>
      </w:r>
    </w:p>
    <w:p>
      <w:pPr>
        <w:spacing w:after="120"/>
      </w:pPr>
      <w:r>
        <w:t>- ④ (주의) 부채 증가·낮은 FCF: TTM FCF $28.7M, 배당+매입이 FCF를 상회(FCF 배당성향 212%), 공매도 비중 15.6%</w:t>
      </w:r>
    </w:p>
    <w:p/>
    <w:p>
      <w:pPr>
        <w:spacing w:after="120"/>
      </w:pPr>
      <w:r/>
      <w:r>
        <w:rPr>
          <w:b/>
        </w:rPr>
        <w:t>시나리오 요약</w:t>
      </w:r>
      <w:r>
        <w:t xml:space="preserve"> (확률 보정 근거는 7.0 참조)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시나리오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확률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한 줄 조건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주가 범위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현재가 대비</w:t>
            </w:r>
          </w:p>
        </w:tc>
      </w:tr>
      <w:tr>
        <w:tc>
          <w:tcPr>
            <w:tcW w:type="dxa" w:w="1881"/>
          </w:tcPr>
          <w:p>
            <w:r>
              <w:t>Positive</w:t>
            </w:r>
          </w:p>
        </w:tc>
        <w:tc>
          <w:tcPr>
            <w:tcW w:type="dxa" w:w="1881"/>
          </w:tcPr>
          <w:p>
            <w:r>
              <w:rPr>
                <w:color w:val="007000"/>
              </w:rPr>
              <w:t>26%</w:t>
            </w:r>
          </w:p>
        </w:tc>
        <w:tc>
          <w:tcPr>
            <w:tcW w:type="dxa" w:w="1881"/>
          </w:tcPr>
          <w:p>
            <w:r>
              <w:t>장기금리·모기지 금리 하락 + 마진 17%대 회복 + 주문 반등</w:t>
            </w:r>
          </w:p>
        </w:tc>
        <w:tc>
          <w:tcPr>
            <w:tcW w:type="dxa" w:w="1881"/>
          </w:tcPr>
          <w:p>
            <w:r>
              <w:t>$57.95 ~ $70.00</w:t>
            </w:r>
          </w:p>
        </w:tc>
        <w:tc>
          <w:tcPr>
            <w:tcW w:type="dxa" w:w="1881"/>
          </w:tcPr>
          <w:p>
            <w:r>
              <w:t>+23.2% ~ +48.8%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t>Base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color w:val="007000"/>
              </w:rPr>
              <w:t>51%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color w:val="007000"/>
              </w:rPr>
              <w:t>고금리 정체, 마진 16~17%, FY27 EPS $3.6 안팎</w:t>
            </w:r>
          </w:p>
        </w:tc>
        <w:tc>
          <w:tcPr>
            <w:tcW w:type="dxa" w:w="1881"/>
            <w:shd w:val="clear" w:color="auto" w:fill="F2F2F2"/>
          </w:tcPr>
          <w:p>
            <w:r>
              <w:t>$40.06 ~ $57.95</w:t>
            </w:r>
          </w:p>
        </w:tc>
        <w:tc>
          <w:tcPr>
            <w:tcW w:type="dxa" w:w="1881"/>
            <w:shd w:val="clear" w:color="auto" w:fill="F2F2F2"/>
          </w:tcPr>
          <w:p>
            <w:r>
              <w:t>-14.9% ~ +23.2%</w:t>
            </w:r>
          </w:p>
        </w:tc>
      </w:tr>
      <w:tr>
        <w:tc>
          <w:tcPr>
            <w:tcW w:type="dxa" w:w="1881"/>
          </w:tcPr>
          <w:p>
            <w:r>
              <w:t>Negative</w:t>
            </w:r>
          </w:p>
        </w:tc>
        <w:tc>
          <w:tcPr>
            <w:tcW w:type="dxa" w:w="1881"/>
          </w:tcPr>
          <w:p>
            <w:r>
              <w:rPr>
                <w:color w:val="007000"/>
              </w:rPr>
              <w:t>23%</w:t>
            </w:r>
          </w:p>
        </w:tc>
        <w:tc>
          <w:tcPr>
            <w:tcW w:type="dxa" w:w="1881"/>
          </w:tcPr>
          <w:p>
            <w:r>
              <w:rPr>
                <w:color w:val="007000"/>
              </w:rPr>
              <w:t>금리 재상승, 인센티브 확대로 마진 15%대, 주문 감소 지속</w:t>
            </w:r>
          </w:p>
        </w:tc>
        <w:tc>
          <w:tcPr>
            <w:tcW w:type="dxa" w:w="1881"/>
          </w:tcPr>
          <w:p>
            <w:r>
              <w:t>$34.00 ~ $40.06</w:t>
            </w:r>
          </w:p>
        </w:tc>
        <w:tc>
          <w:tcPr>
            <w:tcW w:type="dxa" w:w="1881"/>
          </w:tcPr>
          <w:p>
            <w:r>
              <w:t>-27.7% ~ -14.9%</w:t>
            </w:r>
          </w:p>
        </w:tc>
      </w:tr>
    </w:tbl>
    <w:p/>
    <w:p>
      <w:pPr>
        <w:spacing w:after="120"/>
      </w:pPr>
      <w:r>
        <w:t>&gt; 현재가($47.05)가 적정 범위 내에 있어 "고평가 구간" 특례는 적용되지 않는다. 시나리오 폭이 넓은 것은 주택 사이클 특성상 금리 한 가지 변수에 EPS와 멀티플이 동시에 반응하기 때문이다.</w:t>
      </w:r>
    </w:p>
    <w:p/>
    <w:p>
      <w:pPr>
        <w:pBdr>
          <w:bottom w:val="single" w:sz="6" w:space="1" w:color="2F5496"/>
        </w:pBdr>
      </w:pPr>
    </w:p>
    <w:p/>
    <w:p>
      <w:pPr>
        <w:pStyle w:val="Heading2"/>
      </w:pPr>
      <w:r>
        <w:rPr>
          <w:b/>
          <w:color w:val="2F5496"/>
          <w:sz w:val="28"/>
        </w:rPr>
        <w:t>목차</w:t>
      </w:r>
    </w:p>
    <w:p/>
    <w:p>
      <w:pPr>
        <w:spacing w:after="120"/>
      </w:pPr>
      <w:r>
        <w:t>- [Executive Summary](#executive-summary)</w:t>
      </w:r>
    </w:p>
    <w:p>
      <w:pPr>
        <w:spacing w:after="120"/>
      </w:pPr>
      <w:r>
        <w:t>- 1. 기업 개요 및 데이터 커버리지</w:t>
      </w:r>
    </w:p>
    <w:p>
      <w:pPr>
        <w:spacing w:after="120"/>
      </w:pPr>
      <w:r>
        <w:t>- 2. 비즈니스모델 분석</w:t>
      </w:r>
    </w:p>
    <w:p>
      <w:pPr>
        <w:spacing w:after="120"/>
      </w:pPr>
      <w:r>
        <w:t>- 3. 재무 실적 분석</w:t>
      </w:r>
    </w:p>
    <w:p>
      <w:pPr>
        <w:spacing w:after="120"/>
      </w:pPr>
      <w:r>
        <w:t>- 4. 산업·시장 환경</w:t>
      </w:r>
    </w:p>
    <w:p>
      <w:pPr>
        <w:spacing w:after="120"/>
      </w:pPr>
      <w:r>
        <w:t>- 5. 애널리스트·뉴스 종합</w:t>
      </w:r>
    </w:p>
    <w:p>
      <w:pPr>
        <w:spacing w:after="120"/>
      </w:pPr>
      <w:r>
        <w:t>- 6. 밸류에이션 종합</w:t>
      </w:r>
    </w:p>
    <w:p>
      <w:pPr>
        <w:spacing w:after="120"/>
      </w:pPr>
      <w:r>
        <w:t>- 7. 투자 시나리오 및 주가 전망</w:t>
      </w:r>
    </w:p>
    <w:p>
      <w:pPr>
        <w:spacing w:after="120"/>
      </w:pPr>
      <w:r>
        <w:t>- 부록 A·B·C</w:t>
      </w:r>
    </w:p>
    <w:p/>
    <w:p>
      <w:pPr>
        <w:pBdr>
          <w:bottom w:val="single" w:sz="6" w:space="1" w:color="2F5496"/>
        </w:pBdr>
      </w:pPr>
    </w:p>
    <w:p/>
    <w:p>
      <w:pPr>
        <w:pStyle w:val="Heading2"/>
      </w:pPr>
      <w:r>
        <w:rPr>
          <w:b/>
          <w:color w:val="2F5496"/>
          <w:sz w:val="28"/>
        </w:rPr>
        <w:t>1. 기업 개요 및 데이터 커버리지</w:t>
      </w:r>
    </w:p>
    <w:p/>
    <w:p>
      <w:pPr>
        <w:pStyle w:val="Heading3"/>
      </w:pPr>
      <w:r>
        <w:rPr>
          <w:b/>
          <w:color w:val="000000"/>
          <w:sz w:val="24"/>
        </w:rPr>
        <w:t>1.1 기업 개요</w:t>
      </w:r>
    </w:p>
    <w:p/>
    <w:p>
      <w:pPr>
        <w:spacing w:after="120"/>
      </w:pPr>
      <w:r>
        <w:t xml:space="preserve">- </w:t>
      </w:r>
      <w:r>
        <w:rPr>
          <w:b/>
        </w:rPr>
        <w:t>기업명/티커:</w:t>
      </w:r>
      <w:r>
        <w:t xml:space="preserve"> KB Home / KBH (NYSE) (← 회사)</w:t>
      </w:r>
    </w:p>
    <w:p>
      <w:pPr>
        <w:spacing w:after="120"/>
      </w:pPr>
      <w:r>
        <w:t xml:space="preserve">- </w:t>
      </w:r>
      <w:r>
        <w:rPr>
          <w:b/>
        </w:rPr>
        <w:t>업종:</w:t>
      </w:r>
      <w:r>
        <w:t xml:space="preserve"> 주택 건설(Homebuilding). 첫 주택 구입자와 무브업(move-up) 수요 대상</w:t>
      </w:r>
    </w:p>
    <w:p>
      <w:pPr>
        <w:spacing w:after="120"/>
      </w:pPr>
      <w:r>
        <w:t xml:space="preserve">- </w:t>
      </w:r>
      <w:r>
        <w:rPr>
          <w:b/>
        </w:rPr>
        <w:t>규모:</w:t>
      </w:r>
      <w:r>
        <w:t xml:space="preserve"> 50개 시장, 누적 70만 채 이상 건설, 약 70년 역사 (← 회사 IR). 보유·통제 부지 6만 1천 필지 이상 (← 3Q26 실적 콜)</w:t>
      </w:r>
    </w:p>
    <w:p>
      <w:pPr>
        <w:spacing w:after="120"/>
      </w:pPr>
      <w:r>
        <w:t xml:space="preserve">- </w:t>
      </w:r>
      <w:r>
        <w:rPr>
          <w:b/>
        </w:rPr>
        <w:t>사업 지역(4개 권역):</w:t>
      </w:r>
      <w:r>
        <w:t xml:space="preserve"> West Coast, Southwest, Central, Southeast (← 회사 공시)</w:t>
      </w:r>
    </w:p>
    <w:p>
      <w:pPr>
        <w:spacing w:after="120"/>
      </w:pPr>
      <w:r>
        <w:t xml:space="preserve">- </w:t>
      </w:r>
      <w:r>
        <w:rPr>
          <w:b/>
        </w:rPr>
        <w:t>시가총액:</w:t>
      </w:r>
      <w:r>
        <w:t xml:space="preserve"> 약 $2.86B (주식수 60.76M × $47.05), 기업가치(EV) 약 $4.84B (← StockAnalysis)</w:t>
      </w:r>
    </w:p>
    <w:p>
      <w:pPr>
        <w:spacing w:after="120"/>
      </w:pPr>
      <w:r>
        <w:t xml:space="preserve">- </w:t>
      </w:r>
      <w:r>
        <w:rPr>
          <w:b/>
        </w:rPr>
        <w:t>경영진:</w:t>
      </w:r>
      <w:r>
        <w:t xml:space="preserve"> Jeffrey Mezger(Executive Chairman), Robert McGibney(President &amp; CEO) (← 회사 발표)</w:t>
      </w:r>
    </w:p>
    <w:p>
      <w:pPr>
        <w:spacing w:after="120"/>
      </w:pPr>
      <w:r>
        <w:t xml:space="preserve">- </w:t>
      </w:r>
      <w:r>
        <w:rPr>
          <w:b/>
        </w:rPr>
        <w:t>회계연도:</w:t>
      </w:r>
      <w:r>
        <w:t xml:space="preserve"> 11월 말 결산. 3Q26은 2026년 6~8월</w:t>
      </w:r>
    </w:p>
    <w:p/>
    <w:p>
      <w:pPr>
        <w:pStyle w:val="Heading3"/>
      </w:pPr>
      <w:r>
        <w:rPr>
          <w:b/>
          <w:color w:val="000000"/>
          <w:sz w:val="24"/>
        </w:rPr>
        <w:t>1.2 데이터 커버리지와 분석 방식</w:t>
      </w:r>
    </w:p>
    <w:p/>
    <w:p>
      <w:pPr>
        <w:spacing w:after="120"/>
      </w:pPr>
      <w:r>
        <w:t>한국 주식용 에이전트(DART·텔레그램 증권사 리포트 기반)는 미국 종목에 맞지 않아 사용하지 않았다. 대신 동일한 최종 리포트 형식을 유지하면서 미국 시장 소스로 한 세션에서 직접 분석했다.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영역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상태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사용한 소스</w:t>
            </w:r>
          </w:p>
        </w:tc>
      </w:tr>
      <w:tr>
        <w:tc>
          <w:tcPr>
            <w:tcW w:type="dxa" w:w="3135"/>
          </w:tcPr>
          <w:p>
            <w:r>
              <w:t>재무 실적</w:t>
            </w:r>
          </w:p>
        </w:tc>
        <w:tc>
          <w:tcPr>
            <w:tcW w:type="dxa" w:w="3135"/>
          </w:tcPr>
          <w:p>
            <w:r>
              <w:t>✓</w:t>
            </w:r>
          </w:p>
        </w:tc>
        <w:tc>
          <w:tcPr>
            <w:tcW w:type="dxa" w:w="3135"/>
          </w:tcPr>
          <w:p>
            <w:r>
              <w:t>회사 실적 발표(FY2025 4Q, FY2026 1~3Q), StockAnalysis 재무·통계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애널리스트</w:t>
            </w:r>
          </w:p>
        </w:tc>
        <w:tc>
          <w:tcPr>
            <w:tcW w:type="dxa" w:w="3135"/>
            <w:shd w:val="clear" w:color="auto" w:fill="F2F2F2"/>
          </w:tcPr>
          <w:p>
            <w:r>
              <w:t>✓ (부분)</w:t>
            </w:r>
          </w:p>
        </w:tc>
        <w:tc>
          <w:tcPr>
            <w:tcW w:type="dxa" w:w="3135"/>
            <w:shd w:val="clear" w:color="auto" w:fill="F2F2F2"/>
          </w:tcPr>
          <w:p>
            <w:r>
              <w:t>집계 사이트(StockAnalysis/S&amp;P Global, MarketBeat) 목표주가·등급. **개별 증권사 리포트 원문은 미수집**</w:t>
            </w:r>
          </w:p>
        </w:tc>
      </w:tr>
      <w:tr>
        <w:tc>
          <w:tcPr>
            <w:tcW w:type="dxa" w:w="3135"/>
          </w:tcPr>
          <w:p>
            <w:r>
              <w:t>뉴스·매크로</w:t>
            </w:r>
          </w:p>
        </w:tc>
        <w:tc>
          <w:tcPr>
            <w:tcW w:type="dxa" w:w="3135"/>
          </w:tcPr>
          <w:p>
            <w:r>
              <w:t>✓</w:t>
            </w:r>
          </w:p>
        </w:tc>
        <w:tc>
          <w:tcPr>
            <w:tcW w:type="dxa" w:w="3135"/>
          </w:tcPr>
          <w:p>
            <w:r>
              <w:t>Freddie Mac, FRED, Yahoo Finance, J.P. Morgan, HousingWire 등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산업</w:t>
            </w:r>
          </w:p>
        </w:tc>
        <w:tc>
          <w:tcPr>
            <w:tcW w:type="dxa" w:w="3135"/>
            <w:shd w:val="clear" w:color="auto" w:fill="F2F2F2"/>
          </w:tcPr>
          <w:p>
            <w:r>
              <w:t>✓ (부분)</w:t>
            </w:r>
          </w:p>
        </w:tc>
        <w:tc>
          <w:tcPr>
            <w:tcW w:type="dxa" w:w="3135"/>
            <w:shd w:val="clear" w:color="auto" w:fill="F2F2F2"/>
          </w:tcPr>
          <w:p>
            <w:r>
              <w:t>NAHB·Fannie Mae 전망(상반기 시점) + 최근 금리·주택 지표</w:t>
            </w:r>
          </w:p>
        </w:tc>
      </w:tr>
      <w:tr>
        <w:tc>
          <w:tcPr>
            <w:tcW w:type="dxa" w:w="3135"/>
          </w:tcPr>
          <w:p>
            <w:r>
              <w:t>밸류에이션</w:t>
            </w:r>
          </w:p>
        </w:tc>
        <w:tc>
          <w:tcPr>
            <w:tcW w:type="dxa" w:w="3135"/>
          </w:tcPr>
          <w:p>
            <w:r>
              <w:t>✓</w:t>
            </w:r>
          </w:p>
        </w:tc>
        <w:tc>
          <w:tcPr>
            <w:tcW w:type="dxa" w:w="3135"/>
          </w:tcPr>
          <w:p>
            <w:r>
              <w:t>본 분석에서 직접 산정(P/E, P/B, 정상화 이익)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주가 데이터</w:t>
            </w:r>
          </w:p>
        </w:tc>
        <w:tc>
          <w:tcPr>
            <w:tcW w:type="dxa" w:w="3135"/>
            <w:shd w:val="clear" w:color="auto" w:fill="F2F2F2"/>
          </w:tcPr>
          <w:p>
            <w:r>
              <w:t>△</w:t>
            </w:r>
          </w:p>
        </w:tc>
        <w:tc>
          <w:tcPr>
            <w:tcW w:type="dxa" w:w="3135"/>
            <w:shd w:val="clear" w:color="auto" w:fill="F2F2F2"/>
          </w:tcPr>
          <w:p>
            <w:r>
              <w:t>yfinance가 rate limit(Too Many Requests)으로 실패해 StockAnalysis의 종가·통계로 대체</w:t>
            </w:r>
          </w:p>
        </w:tc>
      </w:tr>
    </w:tbl>
    <w:p/>
    <w:p>
      <w:pPr>
        <w:spacing w:after="120"/>
      </w:pPr>
      <w:r>
        <w:t xml:space="preserve">- </w:t>
      </w:r>
      <w:r>
        <w:rPr>
          <w:b/>
        </w:rPr>
        <w:t>데이터 한계:</w:t>
      </w:r>
      <w:r>
        <w:t xml:space="preserve"> (1) 10-K/10-Q 본문과 리스크 팩터 전문은 읽지 않고 실적 발표자료·실적 콜 요약을 사용, (2) 동종사 지표는 단일 사이트에서 가져옴(캐시 시점 10/24~25), (3) 재무 시계열의 FY2025 영업이익은 소스별 정의가 달라 병기, (4) 일부 집계 사이트 목표주가 최저치가 최신 하향분을 반영하지 못함.</w:t>
      </w:r>
    </w:p>
    <w:p/>
    <w:p>
      <w:pPr>
        <w:pStyle w:val="Heading3"/>
      </w:pPr>
      <w:r>
        <w:rPr>
          <w:b/>
          <w:color w:val="000000"/>
          <w:sz w:val="24"/>
        </w:rPr>
        <w:t>1.3 신호 정합성 요약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재무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애널리스트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뉴스·매크로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산업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밸류에이션</w:t>
            </w:r>
          </w:p>
        </w:tc>
      </w:tr>
      <w:tr>
        <w:tc>
          <w:tcPr>
            <w:tcW w:type="dxa" w:w="1568"/>
          </w:tcPr>
          <w:p>
            <w:r>
              <w:t>수익성</w:t>
            </w:r>
          </w:p>
        </w:tc>
        <w:tc>
          <w:tcPr>
            <w:tcW w:type="dxa" w:w="1568"/>
          </w:tcPr>
          <w:p>
            <w:r>
              <w:t>▼ 마진 하락(전년 대비), 전분기 대비 개선</w:t>
            </w:r>
          </w:p>
        </w:tc>
        <w:tc>
          <w:tcPr>
            <w:tcW w:type="dxa" w:w="1568"/>
          </w:tcPr>
          <w:p>
            <w:r>
              <w:t>△ EPS 하향</w:t>
            </w:r>
          </w:p>
        </w:tc>
        <w:tc>
          <w:tcPr>
            <w:tcW w:type="dxa" w:w="1568"/>
          </w:tcPr>
          <w:p>
            <w:r>
              <w:t>△ BTO 효과로 마진 반등</w:t>
            </w:r>
          </w:p>
        </w:tc>
        <w:tc>
          <w:tcPr>
            <w:tcW w:type="dxa" w:w="1568"/>
          </w:tcPr>
          <w:p>
            <w:r>
              <w:t>▼ 인센티브·가격 압력</w:t>
            </w:r>
          </w:p>
        </w:tc>
        <w:tc>
          <w:tcPr>
            <w:tcW w:type="dxa" w:w="1568"/>
          </w:tcPr>
          <w:p>
            <w:r>
              <w:t>△ 정상화 이익 대비 저점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r>
              <w:t>성장 모멘텀</w:t>
            </w:r>
          </w:p>
        </w:tc>
        <w:tc>
          <w:tcPr>
            <w:tcW w:type="dxa" w:w="1568"/>
            <w:shd w:val="clear" w:color="auto" w:fill="F2F2F2"/>
          </w:tcPr>
          <w:p>
            <w:r>
              <w:t>▼ 매출 -20%, 주문 -12%</w:t>
            </w:r>
          </w:p>
        </w:tc>
        <w:tc>
          <w:tcPr>
            <w:tcW w:type="dxa" w:w="1568"/>
            <w:shd w:val="clear" w:color="auto" w:fill="F2F2F2"/>
          </w:tcPr>
          <w:p>
            <w:r>
              <w:t>▼ FY26 EPS -52%</w:t>
            </w:r>
          </w:p>
        </w:tc>
        <w:tc>
          <w:tcPr>
            <w:tcW w:type="dxa" w:w="1568"/>
            <w:shd w:val="clear" w:color="auto" w:fill="F2F2F2"/>
          </w:tcPr>
          <w:p>
            <w:r>
              <w:t>△ 수주잔고 첫 증가</w:t>
            </w:r>
          </w:p>
        </w:tc>
        <w:tc>
          <w:tcPr>
            <w:tcW w:type="dxa" w:w="1568"/>
            <w:shd w:val="clear" w:color="auto" w:fill="F2F2F2"/>
          </w:tcPr>
          <w:p>
            <w:r>
              <w:t>▼ 수요 약화</w:t>
            </w:r>
          </w:p>
        </w:tc>
        <w:tc>
          <w:tcPr>
            <w:tcW w:type="dxa" w:w="1568"/>
            <w:shd w:val="clear" w:color="auto" w:fill="F2F2F2"/>
          </w:tcPr>
          <w:p>
            <w:r>
              <w:t>△ FY27 EPS +11% 전망</w:t>
            </w:r>
          </w:p>
        </w:tc>
      </w:tr>
      <w:tr>
        <w:tc>
          <w:tcPr>
            <w:tcW w:type="dxa" w:w="1568"/>
          </w:tcPr>
          <w:p>
            <w:r>
              <w:t>리스크</w:t>
            </w:r>
          </w:p>
        </w:tc>
        <w:tc>
          <w:tcPr>
            <w:tcW w:type="dxa" w:w="1568"/>
          </w:tcPr>
          <w:p>
            <w:r>
              <w:t>▼ 차입 증가, FCF 거의 0</w:t>
            </w:r>
          </w:p>
        </w:tc>
        <w:tc>
          <w:tcPr>
            <w:tcW w:type="dxa" w:w="1568"/>
          </w:tcPr>
          <w:p>
            <w:r>
              <w:t>▼ 목표가 하향 다수</w:t>
            </w:r>
          </w:p>
        </w:tc>
        <w:tc>
          <w:tcPr>
            <w:tcW w:type="dxa" w:w="1568"/>
          </w:tcPr>
          <w:p>
            <w:r>
              <w:rPr>
                <w:color w:val="007000"/>
              </w:rPr>
              <w:t>▼ 금리 인상·7.3% 모기지</w:t>
            </w:r>
          </w:p>
        </w:tc>
        <w:tc>
          <w:tcPr>
            <w:tcW w:type="dxa" w:w="1568"/>
          </w:tcPr>
          <w:p>
            <w:r>
              <w:t>▼ 어포더빌리티</w:t>
            </w:r>
          </w:p>
        </w:tc>
        <w:tc>
          <w:tcPr>
            <w:tcW w:type="dxa" w:w="1568"/>
          </w:tcPr>
          <w:p>
            <w:r>
              <w:t>△ P/B 0.75x 하방 완충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r>
              <w:t>현재 가치</w:t>
            </w:r>
          </w:p>
        </w:tc>
        <w:tc>
          <w:tcPr>
            <w:tcW w:type="dxa" w:w="1568"/>
            <w:shd w:val="clear" w:color="auto" w:fill="F2F2F2"/>
          </w:tcPr>
          <w:p>
            <w:r>
              <w:t>-</w:t>
            </w:r>
          </w:p>
        </w:tc>
        <w:tc>
          <w:tcPr>
            <w:tcW w:type="dxa" w:w="1568"/>
            <w:shd w:val="clear" w:color="auto" w:fill="F2F2F2"/>
          </w:tcPr>
          <w:p>
            <w:r>
              <w:rPr>
                <w:color w:val="007000"/>
              </w:rPr>
              <w:t>△ 평균 TP +8.7%</w:t>
            </w:r>
          </w:p>
        </w:tc>
        <w:tc>
          <w:tcPr>
            <w:tcW w:type="dxa" w:w="1568"/>
            <w:shd w:val="clear" w:color="auto" w:fill="F2F2F2"/>
          </w:tcPr>
          <w:p>
            <w:r>
              <w:t>-</w:t>
            </w:r>
          </w:p>
        </w:tc>
        <w:tc>
          <w:tcPr>
            <w:tcW w:type="dxa" w:w="1568"/>
            <w:shd w:val="clear" w:color="auto" w:fill="F2F2F2"/>
          </w:tcPr>
          <w:p>
            <w:r>
              <w:t>-</w:t>
            </w:r>
          </w:p>
        </w:tc>
        <w:tc>
          <w:tcPr>
            <w:tcW w:type="dxa" w:w="1568"/>
            <w:shd w:val="clear" w:color="auto" w:fill="F2F2F2"/>
          </w:tcPr>
          <w:p>
            <w:r>
              <w:rPr>
                <w:color w:val="007000"/>
              </w:rPr>
              <w:t>△ 적정가 +5.1%</w:t>
            </w:r>
          </w:p>
        </w:tc>
      </w:tr>
    </w:tbl>
    <w:p/>
    <w:p>
      <w:pPr>
        <w:spacing w:after="120"/>
      </w:pPr>
      <w:r>
        <w:t xml:space="preserve">- </w:t>
      </w:r>
      <w:r>
        <w:rPr>
          <w:b/>
        </w:rPr>
        <w:t>정합 신호(신뢰도 높음):</w:t>
      </w:r>
      <w:r>
        <w:t xml:space="preserve"> 단기 수요·이익 모멘텀 약세와 금리 의존성 — 재무, 애널리스트, 뉴스·매크로, 산업 4개 일치.</w:t>
      </w:r>
    </w:p>
    <w:p>
      <w:pPr>
        <w:spacing w:after="120"/>
      </w:pPr>
      <w:r>
        <w:t xml:space="preserve">- </w:t>
      </w:r>
      <w:r>
        <w:rPr>
          <w:b/>
        </w:rPr>
        <w:t>충돌 신호(양측 병기):</w:t>
      </w:r>
      <w:r>
        <w:t xml:space="preserve"> 마진 방향. 전분기 대비는 개선(15.2% → 16.5%, ← 회사)이지만 전년 대비는 18.2%에서 하락이고 FY 마진 가이던스는 하향(← 회사). 두 시각을 모두 유지한다. 또 주가 위치: P/B 0.75x는 저렴해 보이나(← StockAnalysis) 선행 P/E 13.7x는 동종 중앙값(13.8x)과 같아 이익 기준으로는 싸지 않다.</w:t>
      </w:r>
    </w:p>
    <w:p>
      <w:pPr>
        <w:spacing w:after="120"/>
      </w:pPr>
      <w:r>
        <w:t xml:space="preserve">- </w:t>
      </w:r>
      <w:r>
        <w:rPr>
          <w:b/>
        </w:rPr>
        <w:t>공백 신호(단독 출처):</w:t>
      </w:r>
      <w:r>
        <w:t xml:space="preserve"> 공매도 비중 15.6%(StockAnalysis 단독), Citigroup의 Outperform 재확인(2026-09-23, MarketBeat 인용 단독).</w:t>
      </w:r>
    </w:p>
    <w:p>
      <w:pPr>
        <w:spacing w:after="120"/>
      </w:pPr>
      <w:r>
        <w:t xml:space="preserve">- </w:t>
      </w:r>
      <w:r>
        <w:rPr>
          <w:b/>
        </w:rPr>
        <w:t>전반적 방향: Neutral (신뢰도 중간).</w:t>
      </w:r>
      <w:r>
        <w:t xml:space="preserve"> 사업 개선의 방향은 맞으나 거시(금리) 변수가 지배적이다.</w:t>
      </w:r>
    </w:p>
    <w:p/>
    <w:p>
      <w:pPr>
        <w:pStyle w:val="Heading2"/>
      </w:pPr>
      <w:r>
        <w:rPr>
          <w:b/>
          <w:color w:val="2F5496"/>
          <w:sz w:val="28"/>
        </w:rPr>
        <w:t>2. 비즈니스모델 분석</w:t>
      </w:r>
    </w:p>
    <w:p/>
    <w:p>
      <w:pPr>
        <w:pStyle w:val="Heading3"/>
      </w:pPr>
      <w:r>
        <w:rPr>
          <w:b/>
          <w:color w:val="000000"/>
          <w:sz w:val="24"/>
        </w:rPr>
        <w:t>2.1 수익 창출 구조</w:t>
      </w:r>
    </w:p>
    <w:p/>
    <w:p>
      <w:pPr>
        <w:spacing w:after="120"/>
      </w:pPr>
      <w:r/>
      <w:r>
        <w:rPr>
          <w:b/>
        </w:rPr>
        <w:t>Price 축</w:t>
      </w:r>
      <w:r/>
    </w:p>
    <w:p>
      <w:pPr>
        <w:spacing w:after="120"/>
      </w:pPr>
      <w:r>
        <w:t>- 평균 판매가(ASP)는 3Q26 $473,000(전년 $475,700, -0.6%), 9개월 누계 $462,900(전년 $487,500, -5.0%)이다 (← 회사). 권역별 3Q ASP는 West Coast $641,800, Southwest $441,500, Southeast $374,100, Central $337,500이다.</w:t>
      </w:r>
    </w:p>
    <w:p>
      <w:pPr>
        <w:spacing w:after="120"/>
      </w:pPr>
      <w:r>
        <w:t>- 가격 결정력은 제한적이다. 경영진은 "주택 시장이 도전적이고 6월 실적 발표 이후 상황이 약해졌다"고 밝혔고, 재판매(중고) 시장의 가격 압력이 있다고 언급했다 (← 실적 발표·콜). 금리 상승 시 클로징 단계의 인센티브가 발생하나 비중은 미미하다고 설명했다 (← 콜).</w:t>
      </w:r>
    </w:p>
    <w:p/>
    <w:p>
      <w:pPr>
        <w:spacing w:after="120"/>
      </w:pPr>
      <w:r/>
      <w:r>
        <w:rPr>
          <w:b/>
        </w:rPr>
        <w:t>Quantity 축</w:t>
      </w:r>
      <w:r/>
    </w:p>
    <w:p>
      <w:pPr>
        <w:spacing w:after="120"/>
      </w:pPr>
      <w:r>
        <w:t>- 인도 물량: FY2024 14,169채 → FY2025 12,902채(-9%) → 9M FY2026 7,497채(-19%) (← 회사). FY2026 가이던스는 10,500~11,000채 → 4Q 인도 약 3,000~3,500채가 필요하다(본 분석 역산).</w:t>
      </w:r>
    </w:p>
    <w:p>
      <w:pPr>
        <w:spacing w:after="120"/>
      </w:pPr>
      <w:r>
        <w:t>- 순주문: 3Q26 2,604건(전년 2,950, -11.7%), 9개월 8,767건(-4.5%). 순주문 금액 3Q $1.21B(-8.2%) (← 회사).</w:t>
      </w:r>
    </w:p>
    <w:p>
      <w:pPr>
        <w:spacing w:after="120"/>
      </w:pPr>
      <w:r>
        <w:t>- 경영진은 월간 커뮤니티당 판매가 최근 분기 3.1건에서 "올해 그 아래로 추세"라고 인정했다 (← HousingWire 인용 콜 발언).</w:t>
      </w:r>
    </w:p>
    <w:p>
      <w:pPr>
        <w:spacing w:after="120"/>
      </w:pPr>
      <w:r>
        <w:t>- 신규 커뮤니티 오픈이 늘어 3Q 말 커뮤니티 수는 전년 대비 증가했다 (← 회사).</w:t>
      </w:r>
    </w:p>
    <w:p/>
    <w:p>
      <w:pPr>
        <w:spacing w:after="120"/>
      </w:pPr>
      <w:r/>
      <w:r>
        <w:rPr>
          <w:b/>
        </w:rPr>
        <w:t>Cost 축</w:t>
      </w:r>
      <w:r/>
    </w:p>
    <w:p>
      <w:pPr>
        <w:spacing w:after="120"/>
      </w:pPr>
      <w:r>
        <w:t>- 주택 총마진(GAAP): 3Q26 16.5%(전년 18.2%), 조정 총마진 16.8%(전년 18.9%). 9M 누계 조정 총마진 16.1%(전년 19.6%) (← 회사).</w:t>
      </w:r>
    </w:p>
    <w:p>
      <w:pPr>
        <w:spacing w:after="120"/>
      </w:pPr>
      <w:r>
        <w:t>- SG&amp;A 비율: 3Q 11.3%(전년 10.0%). 매출 감소로 고정비 레버리지가 악화되고 있다 (← 실적 콜).</w:t>
      </w:r>
    </w:p>
    <w:p>
      <w:pPr>
        <w:spacing w:after="120"/>
      </w:pPr>
      <w:r>
        <w:t>- 영업 레버리지가 크다: 매출 -20%에 홈빌딩 영업이익은 3Q $67.1M(-48.8%), 9M $128.3M(-67.1%).</w:t>
      </w:r>
    </w:p>
    <w:p>
      <w:pPr>
        <w:spacing w:after="120"/>
      </w:pPr>
      <w:r>
        <w:t>- 이자 비용은 전액 자본화(재고에 편입)되고 이후 매출원가로 상각되는 구조라, 손익계산서에는 별도 이자비용이 나타나지 않는다 (← 회사 재무제표).</w:t>
      </w:r>
    </w:p>
    <w:p/>
    <w:p>
      <w:pPr>
        <w:pStyle w:val="Heading3"/>
      </w:pPr>
      <w:r>
        <w:rPr>
          <w:b/>
          <w:color w:val="000000"/>
          <w:sz w:val="24"/>
        </w:rPr>
        <w:t>2.2 권역별 수익 기여도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권역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9M26 인도(채)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전년 대비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3Q26 ASP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3Q 말 수주잔고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568"/>
          </w:tcPr>
          <w:p>
            <w:r>
              <w:t>West Coast</w:t>
            </w:r>
          </w:p>
        </w:tc>
        <w:tc>
          <w:tcPr>
            <w:tcW w:type="dxa" w:w="1568"/>
          </w:tcPr>
          <w:p>
            <w:r>
              <w:t>2,494</w:t>
            </w:r>
          </w:p>
        </w:tc>
        <w:tc>
          <w:tcPr>
            <w:tcW w:type="dxa" w:w="1568"/>
          </w:tcPr>
          <w:p>
            <w:r>
              <w:rPr>
                <w:color w:val="C00000"/>
              </w:rPr>
              <w:t>-10.6%</w:t>
            </w:r>
          </w:p>
        </w:tc>
        <w:tc>
          <w:tcPr>
            <w:tcW w:type="dxa" w:w="1568"/>
          </w:tcPr>
          <w:p>
            <w:r>
              <w:t>$641,800</w:t>
            </w:r>
          </w:p>
        </w:tc>
        <w:tc>
          <w:tcPr>
            <w:tcW w:type="dxa" w:w="1568"/>
          </w:tcPr>
          <w:p>
            <w:r>
              <w:t>1,589채 / $1.02B (금액 +22.3%)</w:t>
            </w:r>
          </w:p>
        </w:tc>
        <w:tc>
          <w:tcPr>
            <w:tcW w:type="dxa" w:w="1568"/>
          </w:tcPr>
          <w:p>
            <w:r>
              <w:t>고마진 Bay Area 커뮤니티, 믹스 이익이 2027까지 지속 전망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r>
              <w:t>Southwest</w:t>
            </w:r>
          </w:p>
        </w:tc>
        <w:tc>
          <w:tcPr>
            <w:tcW w:type="dxa" w:w="1568"/>
            <w:shd w:val="clear" w:color="auto" w:fill="F2F2F2"/>
          </w:tcPr>
          <w:p>
            <w:r>
              <w:t>1,256</w:t>
            </w:r>
          </w:p>
        </w:tc>
        <w:tc>
          <w:tcPr>
            <w:tcW w:type="dxa" w:w="1568"/>
            <w:shd w:val="clear" w:color="auto" w:fill="F2F2F2"/>
          </w:tcPr>
          <w:p>
            <w:r>
              <w:rPr>
                <w:color w:val="C00000"/>
              </w:rPr>
              <w:t>-37.8%</w:t>
            </w:r>
          </w:p>
        </w:tc>
        <w:tc>
          <w:tcPr>
            <w:tcW w:type="dxa" w:w="1568"/>
            <w:shd w:val="clear" w:color="auto" w:fill="F2F2F2"/>
          </w:tcPr>
          <w:p>
            <w:r>
              <w:t>$441,500</w:t>
            </w:r>
          </w:p>
        </w:tc>
        <w:tc>
          <w:tcPr>
            <w:tcW w:type="dxa" w:w="1568"/>
            <w:shd w:val="clear" w:color="auto" w:fill="F2F2F2"/>
          </w:tcPr>
          <w:p>
            <w:r>
              <w:t>696채 / $296M</w:t>
            </w:r>
          </w:p>
        </w:tc>
        <w:tc>
          <w:tcPr>
            <w:tcW w:type="dxa" w:w="1568"/>
            <w:shd w:val="clear" w:color="auto" w:fill="F2F2F2"/>
          </w:tcPr>
          <w:p>
            <w:r>
              <w:t>인도 감소폭 최대</w:t>
            </w:r>
          </w:p>
        </w:tc>
      </w:tr>
      <w:tr>
        <w:tc>
          <w:tcPr>
            <w:tcW w:type="dxa" w:w="1568"/>
          </w:tcPr>
          <w:p>
            <w:r>
              <w:t>Central</w:t>
            </w:r>
          </w:p>
        </w:tc>
        <w:tc>
          <w:tcPr>
            <w:tcW w:type="dxa" w:w="1568"/>
          </w:tcPr>
          <w:p>
            <w:r>
              <w:t>1,880</w:t>
            </w:r>
          </w:p>
        </w:tc>
        <w:tc>
          <w:tcPr>
            <w:tcW w:type="dxa" w:w="1568"/>
          </w:tcPr>
          <w:p>
            <w:r>
              <w:rPr>
                <w:color w:val="C00000"/>
              </w:rPr>
              <w:t>-25.0%</w:t>
            </w:r>
          </w:p>
        </w:tc>
        <w:tc>
          <w:tcPr>
            <w:tcW w:type="dxa" w:w="1568"/>
          </w:tcPr>
          <w:p>
            <w:r>
              <w:t>$337,500</w:t>
            </w:r>
          </w:p>
        </w:tc>
        <w:tc>
          <w:tcPr>
            <w:tcW w:type="dxa" w:w="1568"/>
          </w:tcPr>
          <w:p>
            <w:r>
              <w:t>1,042채 / $351M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  <w:shd w:val="clear" w:color="auto" w:fill="F2F2F2"/>
          </w:tcPr>
          <w:p>
            <w:r>
              <w:t>Southeast</w:t>
            </w:r>
          </w:p>
        </w:tc>
        <w:tc>
          <w:tcPr>
            <w:tcW w:type="dxa" w:w="1568"/>
            <w:shd w:val="clear" w:color="auto" w:fill="F2F2F2"/>
          </w:tcPr>
          <w:p>
            <w:r>
              <w:t>1,867</w:t>
            </w:r>
          </w:p>
        </w:tc>
        <w:tc>
          <w:tcPr>
            <w:tcW w:type="dxa" w:w="1568"/>
            <w:shd w:val="clear" w:color="auto" w:fill="F2F2F2"/>
          </w:tcPr>
          <w:p>
            <w:r>
              <w:rPr>
                <w:color w:val="C00000"/>
              </w:rPr>
              <w:t>-5.2%</w:t>
            </w:r>
          </w:p>
        </w:tc>
        <w:tc>
          <w:tcPr>
            <w:tcW w:type="dxa" w:w="1568"/>
            <w:shd w:val="clear" w:color="auto" w:fill="F2F2F2"/>
          </w:tcPr>
          <w:p>
            <w:r>
              <w:t>$374,100</w:t>
            </w:r>
          </w:p>
        </w:tc>
        <w:tc>
          <w:tcPr>
            <w:tcW w:type="dxa" w:w="1568"/>
            <w:shd w:val="clear" w:color="auto" w:fill="F2F2F2"/>
          </w:tcPr>
          <w:p>
            <w:r>
              <w:t>1,071채 / $386M</w:t>
            </w:r>
          </w:p>
        </w:tc>
        <w:tc>
          <w:tcPr>
            <w:tcW w:type="dxa" w:w="1568"/>
            <w:shd w:val="clear" w:color="auto" w:fill="F2F2F2"/>
          </w:tcPr>
          <w:p>
            <w:r>
              <w:t>상대적으로 양호</w:t>
            </w:r>
          </w:p>
        </w:tc>
      </w:tr>
    </w:tbl>
    <w:p/>
    <w:p>
      <w:pPr>
        <w:spacing w:after="120"/>
      </w:pPr>
      <w:r>
        <w:t>(← 회사 3Q26 실적 발표, Bay Area 코멘트는 ← 실적 콜)</w:t>
      </w:r>
    </w:p>
    <w:p/>
    <w:p>
      <w:pPr>
        <w:spacing w:after="120"/>
      </w:pPr>
      <w:r>
        <w:t>- West Coast의 비중이 가장 크고 주문 금액이 늘고 있어(9M $2.03B, +7.4%) 평균 마진을 떠받치는 반면, Southwest·Central의 인도 감소가 총량을 끌어내린다. 일부 권역(특히 West Coast)의 의존도가 높아 지역 편중 리스크가 있다.</w:t>
      </w:r>
    </w:p>
    <w:p/>
    <w:p>
      <w:pPr>
        <w:pStyle w:val="Heading3"/>
      </w:pPr>
      <w:r>
        <w:rPr>
          <w:b/>
          <w:color w:val="000000"/>
          <w:sz w:val="24"/>
        </w:rPr>
        <w:t>2.3 핵심 경쟁 우위 (Moat)</w:t>
      </w:r>
    </w:p>
    <w:p/>
    <w:p>
      <w:pPr>
        <w:spacing w:after="120"/>
      </w:pPr>
      <w:r>
        <w:t xml:space="preserve">- </w:t>
      </w:r>
      <w:r>
        <w:rPr>
          <w:b/>
        </w:rPr>
        <w:t>유형:</w:t>
      </w:r>
      <w:r>
        <w:t xml:space="preserve"> 무형자산(고객 만족 평가, "top customer-ranked national homebuilder" 주장, ← 회사 IR)과 개인화(personalization) 중심의 BTO 운영, 에너지 효율(ENERGY STAR 최다 인도, ← 회사 IR). 규모의 효율은 DHI·LEN 대비 작다.</w:t>
      </w:r>
    </w:p>
    <w:p>
      <w:pPr>
        <w:spacing w:after="120"/>
      </w:pPr>
      <w:r>
        <w:t xml:space="preserve">- </w:t>
      </w:r>
      <w:r>
        <w:rPr>
          <w:b/>
        </w:rPr>
        <w:t>강도: Narrow(보통).</w:t>
      </w:r>
      <w:r>
        <w:t xml:space="preserve"> 가격·원가 우위가 구조적이지 않고, 최근 몇 년간 영업마진이 크게 변동했다(StockAnalysis 기준 FY2022 영업이익 $1.11B → FY2025 $574M).</w:t>
      </w:r>
    </w:p>
    <w:p>
      <w:pPr>
        <w:spacing w:after="120"/>
      </w:pPr>
      <w:r>
        <w:t xml:space="preserve">- </w:t>
      </w:r>
      <w:r>
        <w:rPr>
          <w:b/>
        </w:rPr>
        <w:t>전략 전환:</w:t>
      </w:r>
      <w:r>
        <w:t xml:space="preserve"> 2025년에 늘렸던 스펙(재고) 주택을 줄이고 BTO 비중을 약 50%에서 74%로 올렸다. 미판매 재고 비중은 생산 대비 26%(전년 41%), 완공 미판매 주택 9%(전년 16%) (← 3Q26 실적 콜). 이는 재고 손상 리스크를 낮춘다.</w:t>
      </w:r>
    </w:p>
    <w:p>
      <w:pPr>
        <w:spacing w:after="120"/>
      </w:pPr>
      <w:r>
        <w:t xml:space="preserve">- </w:t>
      </w:r>
      <w:r>
        <w:rPr>
          <w:b/>
        </w:rPr>
        <w:t>장기 목표:</w:t>
      </w:r>
      <w:r>
        <w:t xml:space="preserve"> 총마진 22%를 유지한다고 밝혔으나 "현재 시장에서는 달성 불가"를 인정했다 (← 실적 콜).</w:t>
      </w:r>
    </w:p>
    <w:p/>
    <w:p>
      <w:pPr>
        <w:pStyle w:val="Heading3"/>
      </w:pPr>
      <w:r>
        <w:rPr>
          <w:b/>
          <w:color w:val="000000"/>
          <w:sz w:val="24"/>
        </w:rPr>
        <w:t>2.4 강점·약점 (교차 확인)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내용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교차 확인</w:t>
            </w:r>
          </w:p>
        </w:tc>
      </w:tr>
      <w:tr>
        <w:tc>
          <w:tcPr>
            <w:tcW w:type="dxa" w:w="3135"/>
          </w:tcPr>
          <w:p>
            <w:r>
              <w:t>강점</w:t>
            </w:r>
          </w:p>
        </w:tc>
        <w:tc>
          <w:tcPr>
            <w:tcW w:type="dxa" w:w="3135"/>
          </w:tcPr>
          <w:p>
            <w:r>
              <w:rPr>
                <w:color w:val="007000"/>
              </w:rPr>
              <w:t>BTO 74%로 전환 완료, 미판매 재고 감소</w:t>
            </w:r>
          </w:p>
        </w:tc>
        <w:tc>
          <w:tcPr>
            <w:tcW w:type="dxa" w:w="3135"/>
          </w:tcPr>
          <w:p>
            <w:r>
              <w:t>회사 발표 + 콜 + HousingWire 일치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강점</w:t>
            </w:r>
          </w:p>
        </w:tc>
        <w:tc>
          <w:tcPr>
            <w:tcW w:type="dxa" w:w="3135"/>
            <w:shd w:val="clear" w:color="auto" w:fill="F2F2F2"/>
          </w:tcPr>
          <w:p>
            <w:r>
              <w:t>3Q 수주잔고 증가(첫 YoY 증가 in 4년), 신규 커뮤니티 증가</w:t>
            </w:r>
          </w:p>
        </w:tc>
        <w:tc>
          <w:tcPr>
            <w:tcW w:type="dxa" w:w="3135"/>
            <w:shd w:val="clear" w:color="auto" w:fill="F2F2F2"/>
          </w:tcPr>
          <w:p>
            <w:r>
              <w:t>회사 발표 + 실적 콜</w:t>
            </w:r>
          </w:p>
        </w:tc>
      </w:tr>
      <w:tr>
        <w:tc>
          <w:tcPr>
            <w:tcW w:type="dxa" w:w="3135"/>
          </w:tcPr>
          <w:p>
            <w:r>
              <w:t>강점</w:t>
            </w:r>
          </w:p>
        </w:tc>
        <w:tc>
          <w:tcPr>
            <w:tcW w:type="dxa" w:w="3135"/>
          </w:tcPr>
          <w:p>
            <w:r>
              <w:t>자본환원: 3Q $65M+, 4Q 매입 최대 $50M, 배당 $1.00/년</w:t>
            </w:r>
          </w:p>
        </w:tc>
        <w:tc>
          <w:tcPr>
            <w:tcW w:type="dxa" w:w="3135"/>
          </w:tcPr>
          <w:p>
            <w:r>
              <w:t>회사 발표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약점</w:t>
            </w:r>
          </w:p>
        </w:tc>
        <w:tc>
          <w:tcPr>
            <w:tcW w:type="dxa" w:w="3135"/>
            <w:shd w:val="clear" w:color="auto" w:fill="F2F2F2"/>
          </w:tcPr>
          <w:p>
            <w:r>
              <w:t>마진 하락(YoY), 가이던스 하향, SG&amp;A 레버리지 악화</w:t>
            </w:r>
          </w:p>
        </w:tc>
        <w:tc>
          <w:tcPr>
            <w:tcW w:type="dxa" w:w="3135"/>
            <w:shd w:val="clear" w:color="auto" w:fill="F2F2F2"/>
          </w:tcPr>
          <w:p>
            <w:r>
              <w:t>회사 발표 + HousingWire + StockStory 일치</w:t>
            </w:r>
          </w:p>
        </w:tc>
      </w:tr>
      <w:tr>
        <w:tc>
          <w:tcPr>
            <w:tcW w:type="dxa" w:w="3135"/>
          </w:tcPr>
          <w:p>
            <w:r>
              <w:t>약점</w:t>
            </w:r>
          </w:p>
        </w:tc>
        <w:tc>
          <w:tcPr>
            <w:tcW w:type="dxa" w:w="3135"/>
          </w:tcPr>
          <w:p>
            <w:r>
              <w:t>차입 증가(노트 $1.69B → $2.11B), 부채/자본 35.7%(전년 33%)</w:t>
            </w:r>
          </w:p>
        </w:tc>
        <w:tc>
          <w:tcPr>
            <w:tcW w:type="dxa" w:w="3135"/>
          </w:tcPr>
          <w:p>
            <w:r>
              <w:t>회사 발표 + 콜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약점</w:t>
            </w:r>
          </w:p>
        </w:tc>
        <w:tc>
          <w:tcPr>
            <w:tcW w:type="dxa" w:w="3135"/>
            <w:shd w:val="clear" w:color="auto" w:fill="F2F2F2"/>
          </w:tcPr>
          <w:p>
            <w:r>
              <w:t>FCF 거의 0(TTM $28.7M) vs 환원 규모</w:t>
            </w:r>
          </w:p>
        </w:tc>
        <w:tc>
          <w:tcPr>
            <w:tcW w:type="dxa" w:w="3135"/>
            <w:shd w:val="clear" w:color="auto" w:fill="F2F2F2"/>
          </w:tcPr>
          <w:p>
            <w:r>
              <w:t>StockAnalysis 단독 계산</w:t>
            </w:r>
          </w:p>
        </w:tc>
      </w:tr>
      <w:tr>
        <w:tc>
          <w:tcPr>
            <w:tcW w:type="dxa" w:w="3135"/>
          </w:tcPr>
          <w:p>
            <w:r>
              <w:t>구조적 리스크</w:t>
            </w:r>
          </w:p>
        </w:tc>
        <w:tc>
          <w:tcPr>
            <w:tcW w:type="dxa" w:w="3135"/>
          </w:tcPr>
          <w:p>
            <w:r>
              <w:t>금리·어포더빌리티 의존, 지역 편중(West Coast), 토지 부담</w:t>
            </w:r>
          </w:p>
        </w:tc>
        <w:tc>
          <w:tcPr>
            <w:tcW w:type="dxa" w:w="3135"/>
          </w:tcPr>
          <w:p>
            <w:r>
              <w:t>회사 발언 + 매크로</w:t>
            </w:r>
          </w:p>
        </w:tc>
      </w:tr>
    </w:tbl>
    <w:p/>
    <w:p>
      <w:pPr>
        <w:pBdr>
          <w:bottom w:val="single" w:sz="6" w:space="1" w:color="2F5496"/>
        </w:pBdr>
      </w:pPr>
    </w:p>
    <w:p/>
    <w:p>
      <w:pPr>
        <w:pStyle w:val="Heading2"/>
      </w:pPr>
      <w:r>
        <w:rPr>
          <w:b/>
          <w:color w:val="2F5496"/>
          <w:sz w:val="28"/>
        </w:rPr>
        <w:t>3. 재무 실적 분석</w:t>
      </w:r>
    </w:p>
    <w:p/>
    <w:p>
      <w:pPr>
        <w:pStyle w:val="Heading3"/>
      </w:pPr>
      <w:r>
        <w:rPr>
          <w:b/>
          <w:color w:val="000000"/>
          <w:sz w:val="24"/>
        </w:rPr>
        <w:t>3.1 수익성 추이 (← StockAnalysis 재무 시계열, 회계연도 11월 말)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회계연도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매출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영업이익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순이익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총마진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568"/>
          </w:tcPr>
          <w:p>
            <w:r>
              <w:t>FY2021</w:t>
            </w:r>
          </w:p>
        </w:tc>
        <w:tc>
          <w:tcPr>
            <w:tcW w:type="dxa" w:w="1568"/>
          </w:tcPr>
          <w:p>
            <w:r>
              <w:t>$5.72B</w:t>
            </w:r>
          </w:p>
        </w:tc>
        <w:tc>
          <w:tcPr>
            <w:tcW w:type="dxa" w:w="1568"/>
          </w:tcPr>
          <w:p>
            <w:r>
              <w:t>$712M</w:t>
            </w:r>
          </w:p>
        </w:tc>
        <w:tc>
          <w:tcPr>
            <w:tcW w:type="dxa" w:w="1568"/>
          </w:tcPr>
          <w:p>
            <w:r>
              <w:t>$565M</w:t>
            </w:r>
          </w:p>
        </w:tc>
        <w:tc>
          <w:tcPr>
            <w:tcW w:type="dxa" w:w="1568"/>
          </w:tcPr>
          <w:p>
            <w:r>
              <w:rPr>
                <w:color w:val="007000"/>
              </w:rPr>
              <w:t>22.5%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  <w:shd w:val="clear" w:color="auto" w:fill="F2F2F2"/>
          </w:tcPr>
          <w:p>
            <w:r>
              <w:t>FY2022</w:t>
            </w:r>
          </w:p>
        </w:tc>
        <w:tc>
          <w:tcPr>
            <w:tcW w:type="dxa" w:w="1568"/>
            <w:shd w:val="clear" w:color="auto" w:fill="F2F2F2"/>
          </w:tcPr>
          <w:p>
            <w:r>
              <w:t>$6.90B</w:t>
            </w:r>
          </w:p>
        </w:tc>
        <w:tc>
          <w:tcPr>
            <w:tcW w:type="dxa" w:w="1568"/>
            <w:shd w:val="clear" w:color="auto" w:fill="F2F2F2"/>
          </w:tcPr>
          <w:p>
            <w:r>
              <w:t>$1.11B</w:t>
            </w:r>
          </w:p>
        </w:tc>
        <w:tc>
          <w:tcPr>
            <w:tcW w:type="dxa" w:w="1568"/>
            <w:shd w:val="clear" w:color="auto" w:fill="F2F2F2"/>
          </w:tcPr>
          <w:p>
            <w:r>
              <w:t>$817M</w:t>
            </w:r>
          </w:p>
        </w:tc>
        <w:tc>
          <w:tcPr>
            <w:tcW w:type="dxa" w:w="1568"/>
            <w:shd w:val="clear" w:color="auto" w:fill="F2F2F2"/>
          </w:tcPr>
          <w:p>
            <w:r>
              <w:rPr>
                <w:color w:val="007000"/>
              </w:rPr>
              <w:t>25.2%</w:t>
            </w:r>
          </w:p>
        </w:tc>
        <w:tc>
          <w:tcPr>
            <w:tcW w:type="dxa" w:w="1568"/>
            <w:shd w:val="clear" w:color="auto" w:fill="F2F2F2"/>
          </w:tcPr>
          <w:p>
            <w:r>
              <w:t>정점</w:t>
            </w:r>
          </w:p>
        </w:tc>
      </w:tr>
      <w:tr>
        <w:tc>
          <w:tcPr>
            <w:tcW w:type="dxa" w:w="1568"/>
          </w:tcPr>
          <w:p>
            <w:r>
              <w:t>FY2023</w:t>
            </w:r>
          </w:p>
        </w:tc>
        <w:tc>
          <w:tcPr>
            <w:tcW w:type="dxa" w:w="1568"/>
          </w:tcPr>
          <w:p>
            <w:r>
              <w:t>$6.41B</w:t>
            </w:r>
          </w:p>
        </w:tc>
        <w:tc>
          <w:tcPr>
            <w:tcW w:type="dxa" w:w="1568"/>
          </w:tcPr>
          <w:p>
            <w:r>
              <w:t>$770M</w:t>
            </w:r>
          </w:p>
        </w:tc>
        <w:tc>
          <w:tcPr>
            <w:tcW w:type="dxa" w:w="1568"/>
          </w:tcPr>
          <w:p>
            <w:r>
              <w:t>$590M</w:t>
            </w:r>
          </w:p>
        </w:tc>
        <w:tc>
          <w:tcPr>
            <w:tcW w:type="dxa" w:w="1568"/>
          </w:tcPr>
          <w:p>
            <w:r>
              <w:rPr>
                <w:color w:val="007000"/>
              </w:rPr>
              <w:t>21.9%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  <w:shd w:val="clear" w:color="auto" w:fill="F2F2F2"/>
          </w:tcPr>
          <w:p>
            <w:r>
              <w:t>FY2024</w:t>
            </w:r>
          </w:p>
        </w:tc>
        <w:tc>
          <w:tcPr>
            <w:tcW w:type="dxa" w:w="1568"/>
            <w:shd w:val="clear" w:color="auto" w:fill="F2F2F2"/>
          </w:tcPr>
          <w:p>
            <w:r>
              <w:t>$6.93B</w:t>
            </w:r>
          </w:p>
        </w:tc>
        <w:tc>
          <w:tcPr>
            <w:tcW w:type="dxa" w:w="1568"/>
            <w:shd w:val="clear" w:color="auto" w:fill="F2F2F2"/>
          </w:tcPr>
          <w:p>
            <w:r>
              <w:t>$817M</w:t>
            </w:r>
          </w:p>
        </w:tc>
        <w:tc>
          <w:tcPr>
            <w:tcW w:type="dxa" w:w="1568"/>
            <w:shd w:val="clear" w:color="auto" w:fill="F2F2F2"/>
          </w:tcPr>
          <w:p>
            <w:r>
              <w:t>$655M</w:t>
            </w:r>
          </w:p>
        </w:tc>
        <w:tc>
          <w:tcPr>
            <w:tcW w:type="dxa" w:w="1568"/>
            <w:shd w:val="clear" w:color="auto" w:fill="F2F2F2"/>
          </w:tcPr>
          <w:p>
            <w:r>
              <w:rPr>
                <w:color w:val="007000"/>
              </w:rPr>
              <w:t>21.7%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t>FY2025</w:t>
            </w:r>
          </w:p>
        </w:tc>
        <w:tc>
          <w:tcPr>
            <w:tcW w:type="dxa" w:w="1568"/>
          </w:tcPr>
          <w:p>
            <w:r>
              <w:t>$6.24B</w:t>
            </w:r>
          </w:p>
        </w:tc>
        <w:tc>
          <w:tcPr>
            <w:tcW w:type="dxa" w:w="1568"/>
          </w:tcPr>
          <w:p>
            <w:r>
              <w:t>$574M</w:t>
            </w:r>
          </w:p>
        </w:tc>
        <w:tc>
          <w:tcPr>
            <w:tcW w:type="dxa" w:w="1568"/>
          </w:tcPr>
          <w:p>
            <w:r>
              <w:t>$429M</w:t>
            </w:r>
          </w:p>
        </w:tc>
        <w:tc>
          <w:tcPr>
            <w:tcW w:type="dxa" w:w="1568"/>
          </w:tcPr>
          <w:p>
            <w:r>
              <w:rPr>
                <w:color w:val="007000"/>
              </w:rPr>
              <w:t>19.6%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  <w:shd w:val="clear" w:color="auto" w:fill="F2F2F2"/>
          </w:tcPr>
          <w:p>
            <w:r>
              <w:t>FY2026E</w:t>
            </w:r>
          </w:p>
        </w:tc>
        <w:tc>
          <w:tcPr>
            <w:tcW w:type="dxa" w:w="1568"/>
            <w:shd w:val="clear" w:color="auto" w:fill="F2F2F2"/>
          </w:tcPr>
          <w:p>
            <w:r>
              <w:t>$5.04B</w:t>
            </w:r>
          </w:p>
        </w:tc>
        <w:tc>
          <w:tcPr>
            <w:tcW w:type="dxa" w:w="1568"/>
            <w:shd w:val="clear" w:color="auto" w:fill="F2F2F2"/>
          </w:tcPr>
          <w:p>
            <w:r>
              <w:t>$219M</w:t>
            </w:r>
          </w:p>
        </w:tc>
        <w:tc>
          <w:tcPr>
            <w:tcW w:type="dxa" w:w="1568"/>
            <w:shd w:val="clear" w:color="auto" w:fill="F2F2F2"/>
          </w:tcPr>
          <w:p>
            <w:r>
              <w:t>$199M</w:t>
            </w:r>
          </w:p>
        </w:tc>
        <w:tc>
          <w:tcPr>
            <w:tcW w:type="dxa" w:w="1568"/>
            <w:shd w:val="clear" w:color="auto" w:fill="F2F2F2"/>
          </w:tcPr>
          <w:p>
            <w:r>
              <w:rPr>
                <w:color w:val="007000"/>
              </w:rPr>
              <w:t>16.1%</w:t>
            </w:r>
          </w:p>
        </w:tc>
        <w:tc>
          <w:tcPr>
            <w:tcW w:type="dxa" w:w="1568"/>
            <w:shd w:val="clear" w:color="auto" w:fill="F2F2F2"/>
          </w:tcPr>
          <w:p>
            <w:r>
              <w:t>컨센서스</w:t>
            </w:r>
          </w:p>
        </w:tc>
      </w:tr>
    </w:tbl>
    <w:p/>
    <w:p>
      <w:pPr>
        <w:spacing w:after="120"/>
      </w:pPr>
      <w:r>
        <w:t>- FY2025 홈빌딩 영업이익은 회사 발표 기준 $507.1M(전년 $763.9M)이며, 위 표의 $574M(StockAnalysis)와 정의가 다르다. 두 값은 임의로 맞추지 않고 병기한다. FY2025 GAAP 희석 EPS는 $6.15(전년 $8.45)이고 StockAnalysis의 조정 EPS는 $6.74이다 (← 회사 / StockAnalysis).</w:t>
      </w:r>
    </w:p>
    <w:p>
      <w:pPr>
        <w:spacing w:after="120"/>
      </w:pPr>
      <w:r>
        <w:t>- 총마진은 FY2022 25.2%에서 FY2026E 16.1%로 약 9%p 하락해 사이클 저점 구간에 있다.</w:t>
      </w:r>
    </w:p>
    <w:p/>
    <w:p>
      <w:pPr>
        <w:spacing w:after="120"/>
      </w:pPr>
      <w:r/>
      <w:r>
        <w:rPr>
          <w:b/>
        </w:rPr>
        <w:t>FY2026 분기 흐름 (← 회사 발표, 일부 본 분석 역산)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분기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매출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인도(채)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주택 총마진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순이익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</w:rPr>
              <w:t>희석 EPS</w:t>
            </w:r>
          </w:p>
        </w:tc>
      </w:tr>
      <w:tr>
        <w:tc>
          <w:tcPr>
            <w:tcW w:type="dxa" w:w="1568"/>
          </w:tcPr>
          <w:p>
            <w:r>
              <w:t>1Q26 (12~2월)</w:t>
            </w:r>
          </w:p>
        </w:tc>
        <w:tc>
          <w:tcPr>
            <w:tcW w:type="dxa" w:w="1568"/>
          </w:tcPr>
          <w:p>
            <w:r>
              <w:t>$1.08B</w:t>
            </w:r>
          </w:p>
        </w:tc>
        <w:tc>
          <w:tcPr>
            <w:tcW w:type="dxa" w:w="1568"/>
          </w:tcPr>
          <w:p>
            <w:r>
              <w:t>2,370</w:t>
            </w:r>
          </w:p>
        </w:tc>
        <w:tc>
          <w:tcPr>
            <w:tcW w:type="dxa" w:w="1568"/>
          </w:tcPr>
          <w:p>
            <w:r>
              <w:rPr>
                <w:color w:val="007000"/>
              </w:rPr>
              <w:t>15.3%</w:t>
            </w:r>
          </w:p>
        </w:tc>
        <w:tc>
          <w:tcPr>
            <w:tcW w:type="dxa" w:w="1568"/>
          </w:tcPr>
          <w:p>
            <w:r>
              <w:t>$33.4M</w:t>
            </w:r>
          </w:p>
        </w:tc>
        <w:tc>
          <w:tcPr>
            <w:tcW w:type="dxa" w:w="1568"/>
          </w:tcPr>
          <w:p>
            <w:r>
              <w:t>$0.53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r>
              <w:t>2Q26</w:t>
            </w:r>
          </w:p>
        </w:tc>
        <w:tc>
          <w:tcPr>
            <w:tcW w:type="dxa" w:w="1568"/>
            <w:shd w:val="clear" w:color="auto" w:fill="F2F2F2"/>
          </w:tcPr>
          <w:p>
            <w:r>
              <w:t>$1.11B</w:t>
            </w:r>
          </w:p>
        </w:tc>
        <w:tc>
          <w:tcPr>
            <w:tcW w:type="dxa" w:w="1568"/>
            <w:shd w:val="clear" w:color="auto" w:fill="F2F2F2"/>
          </w:tcPr>
          <w:p>
            <w:r>
              <w:t>2,395</w:t>
            </w:r>
          </w:p>
        </w:tc>
        <w:tc>
          <w:tcPr>
            <w:tcW w:type="dxa" w:w="1568"/>
            <w:shd w:val="clear" w:color="auto" w:fill="F2F2F2"/>
          </w:tcPr>
          <w:p>
            <w:r>
              <w:rPr>
                <w:color w:val="007000"/>
              </w:rPr>
              <w:t>15.2%</w:t>
            </w:r>
          </w:p>
        </w:tc>
        <w:tc>
          <w:tcPr>
            <w:tcW w:type="dxa" w:w="1568"/>
            <w:shd w:val="clear" w:color="auto" w:fill="F2F2F2"/>
          </w:tcPr>
          <w:p>
            <w:r>
              <w:t>$27.3M</w:t>
            </w:r>
          </w:p>
        </w:tc>
        <w:tc>
          <w:tcPr>
            <w:tcW w:type="dxa" w:w="1568"/>
            <w:shd w:val="clear" w:color="auto" w:fill="F2F2F2"/>
          </w:tcPr>
          <w:p>
            <w:r>
              <w:t>$0.43</w:t>
            </w:r>
          </w:p>
        </w:tc>
      </w:tr>
      <w:tr>
        <w:tc>
          <w:tcPr>
            <w:tcW w:type="dxa" w:w="1568"/>
          </w:tcPr>
          <w:p>
            <w:r>
              <w:t>3Q26</w:t>
            </w:r>
          </w:p>
        </w:tc>
        <w:tc>
          <w:tcPr>
            <w:tcW w:type="dxa" w:w="1568"/>
          </w:tcPr>
          <w:p>
            <w:r>
              <w:t>$1.30B</w:t>
            </w:r>
          </w:p>
        </w:tc>
        <w:tc>
          <w:tcPr>
            <w:tcW w:type="dxa" w:w="1568"/>
          </w:tcPr>
          <w:p>
            <w:r>
              <w:t>2,732</w:t>
            </w:r>
          </w:p>
        </w:tc>
        <w:tc>
          <w:tcPr>
            <w:tcW w:type="dxa" w:w="1568"/>
          </w:tcPr>
          <w:p>
            <w:r>
              <w:rPr>
                <w:color w:val="007000"/>
              </w:rPr>
              <w:t>16.5%</w:t>
            </w:r>
          </w:p>
        </w:tc>
        <w:tc>
          <w:tcPr>
            <w:tcW w:type="dxa" w:w="1568"/>
          </w:tcPr>
          <w:p>
            <w:r>
              <w:t>$65.3M</w:t>
            </w:r>
          </w:p>
        </w:tc>
        <w:tc>
          <w:tcPr>
            <w:tcW w:type="dxa" w:w="1568"/>
          </w:tcPr>
          <w:p>
            <w:r>
              <w:t>$1.05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r>
              <w:t>3Q25 (비교)</w:t>
            </w:r>
          </w:p>
        </w:tc>
        <w:tc>
          <w:tcPr>
            <w:tcW w:type="dxa" w:w="1568"/>
            <w:shd w:val="clear" w:color="auto" w:fill="F2F2F2"/>
          </w:tcPr>
          <w:p>
            <w:r>
              <w:t>$1.62B</w:t>
            </w:r>
          </w:p>
        </w:tc>
        <w:tc>
          <w:tcPr>
            <w:tcW w:type="dxa" w:w="1568"/>
            <w:shd w:val="clear" w:color="auto" w:fill="F2F2F2"/>
          </w:tcPr>
          <w:p>
            <w:r>
              <w:t>3,393</w:t>
            </w:r>
          </w:p>
        </w:tc>
        <w:tc>
          <w:tcPr>
            <w:tcW w:type="dxa" w:w="1568"/>
            <w:shd w:val="clear" w:color="auto" w:fill="F2F2F2"/>
          </w:tcPr>
          <w:p>
            <w:r>
              <w:rPr>
                <w:color w:val="007000"/>
              </w:rPr>
              <w:t>18.2%</w:t>
            </w:r>
          </w:p>
        </w:tc>
        <w:tc>
          <w:tcPr>
            <w:tcW w:type="dxa" w:w="1568"/>
            <w:shd w:val="clear" w:color="auto" w:fill="F2F2F2"/>
          </w:tcPr>
          <w:p>
            <w:r>
              <w:t>$109.8M</w:t>
            </w:r>
          </w:p>
        </w:tc>
        <w:tc>
          <w:tcPr>
            <w:tcW w:type="dxa" w:w="1568"/>
            <w:shd w:val="clear" w:color="auto" w:fill="F2F2F2"/>
          </w:tcPr>
          <w:p>
            <w:r>
              <w:t>$1.61</w:t>
            </w:r>
          </w:p>
        </w:tc>
      </w:tr>
    </w:tbl>
    <w:p/>
    <w:p>
      <w:pPr>
        <w:spacing w:after="120"/>
      </w:pPr>
      <w:r>
        <w:t>(1Q는 6개월·3개월 누계 차감 역산. 1Q 총마진은 H1 누계에서 2Q를 차감해 산출한 15.3%)</w:t>
      </w:r>
    </w:p>
    <w:p/>
    <w:p>
      <w:pPr>
        <w:spacing w:after="120"/>
      </w:pPr>
      <w:r>
        <w:t xml:space="preserve">- </w:t>
      </w:r>
      <w:r>
        <w:rPr>
          <w:b/>
        </w:rPr>
        <w:t>4Q 역산(본 분석):</w:t>
      </w:r>
      <w:r>
        <w:t xml:space="preserve"> FY 가이던스(인도 10,500~11,000채, 주택 매출 $4.90~5.10B, 총마진 16.0~16.2%)와 9개월 실적(주택 매출 $3.47B, 총이익 $546M)을 대입하면 4Q 인도는 약 3,000~3,500채, 주택 매출 약 $1.43~1.63B, 총마진 약 16.6~17.2%가 필요하다.</w:t>
      </w:r>
    </w:p>
    <w:p/>
    <w:p>
      <w:pPr>
        <w:spacing w:after="120"/>
      </w:pPr>
      <w:r>
        <w:t>- 3Q는 컨센서스 대비 EPS 상회($1.05 vs $0.90, ← StockStory), 매출은 부합이었다. 그러나 FY 매출 가이던스 중앙값 $5.0B가 컨센서스보다 약 2% 낮았다 (← StockStory).</w:t>
      </w:r>
    </w:p>
    <w:p/>
    <w:p>
      <w:pPr>
        <w:pStyle w:val="Heading3"/>
      </w:pPr>
      <w:r>
        <w:rPr>
          <w:b/>
          <w:color w:val="000000"/>
          <w:sz w:val="24"/>
        </w:rPr>
        <w:t>3.2 안정성 평가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2025-11-30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2026-08-31</w:t>
            </w:r>
          </w:p>
        </w:tc>
      </w:tr>
      <w:tr>
        <w:tc>
          <w:tcPr>
            <w:tcW w:type="dxa" w:w="3135"/>
          </w:tcPr>
          <w:p>
            <w:r>
              <w:t>현금</w:t>
            </w:r>
          </w:p>
        </w:tc>
        <w:tc>
          <w:tcPr>
            <w:tcW w:type="dxa" w:w="3135"/>
          </w:tcPr>
          <w:p>
            <w:r>
              <w:t>$228.6M</w:t>
            </w:r>
          </w:p>
        </w:tc>
        <w:tc>
          <w:tcPr>
            <w:tcW w:type="dxa" w:w="3135"/>
          </w:tcPr>
          <w:p>
            <w:r>
              <w:t>$159.0M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노트 페이어블(차입)</w:t>
            </w:r>
          </w:p>
        </w:tc>
        <w:tc>
          <w:tcPr>
            <w:tcW w:type="dxa" w:w="3135"/>
            <w:shd w:val="clear" w:color="auto" w:fill="F2F2F2"/>
          </w:tcPr>
          <w:p>
            <w:r>
              <w:t>$1.693B</w:t>
            </w:r>
          </w:p>
        </w:tc>
        <w:tc>
          <w:tcPr>
            <w:tcW w:type="dxa" w:w="3135"/>
            <w:shd w:val="clear" w:color="auto" w:fill="F2F2F2"/>
          </w:tcPr>
          <w:p>
            <w:r>
              <w:t>$2.109B</w:t>
            </w:r>
          </w:p>
        </w:tc>
      </w:tr>
      <w:tr>
        <w:tc>
          <w:tcPr>
            <w:tcW w:type="dxa" w:w="3135"/>
          </w:tcPr>
          <w:p>
            <w:r>
              <w:t>자기자본</w:t>
            </w:r>
          </w:p>
        </w:tc>
        <w:tc>
          <w:tcPr>
            <w:tcW w:type="dxa" w:w="3135"/>
          </w:tcPr>
          <w:p>
            <w:r>
              <w:t>$3.901B</w:t>
            </w:r>
          </w:p>
        </w:tc>
        <w:tc>
          <w:tcPr>
            <w:tcW w:type="dxa" w:w="3135"/>
          </w:tcPr>
          <w:p>
            <w:r>
              <w:t>$3.802B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재고</w:t>
            </w:r>
          </w:p>
        </w:tc>
        <w:tc>
          <w:tcPr>
            <w:tcW w:type="dxa" w:w="3135"/>
            <w:shd w:val="clear" w:color="auto" w:fill="F2F2F2"/>
          </w:tcPr>
          <w:p>
            <w:r>
              <w:t>$5.671B</w:t>
            </w:r>
          </w:p>
        </w:tc>
        <w:tc>
          <w:tcPr>
            <w:tcW w:type="dxa" w:w="3135"/>
            <w:shd w:val="clear" w:color="auto" w:fill="F2F2F2"/>
          </w:tcPr>
          <w:p>
            <w:r>
              <w:t>$5.981B</w:t>
            </w:r>
          </w:p>
        </w:tc>
      </w:tr>
      <w:tr>
        <w:tc>
          <w:tcPr>
            <w:tcW w:type="dxa" w:w="3135"/>
          </w:tcPr>
          <w:p>
            <w:r>
              <w:t>순차입/순자본(본 분석 산출)</w:t>
            </w:r>
          </w:p>
        </w:tc>
        <w:tc>
          <w:tcPr>
            <w:tcW w:type="dxa" w:w="3135"/>
          </w:tcPr>
          <w:p>
            <w:r>
              <w:rPr>
                <w:color w:val="007000"/>
              </w:rPr>
              <w:t>약 27.3%</w:t>
            </w:r>
          </w:p>
        </w:tc>
        <w:tc>
          <w:tcPr>
            <w:tcW w:type="dxa" w:w="3135"/>
          </w:tcPr>
          <w:p>
            <w:r>
              <w:rPr>
                <w:color w:val="007000"/>
              </w:rPr>
              <w:t>약 33.9%</w:t>
            </w:r>
          </w:p>
        </w:tc>
      </w:tr>
    </w:tbl>
    <w:p/>
    <w:p>
      <w:pPr>
        <w:spacing w:after="120"/>
      </w:pPr>
      <w:r>
        <w:t>(← 회사 재무제표. 순차입/순자본 = (차입-현금)/((차입-현금)+자기자본))</w:t>
      </w:r>
    </w:p>
    <w:p/>
    <w:p>
      <w:pPr>
        <w:spacing w:after="120"/>
      </w:pPr>
      <w:r>
        <w:t>- 회사 발표 부채/자본 비율은 3Q 35.7%(전년 33%), 총 유동성 $942M(무담보 신용한도 잔여 $783M 포함) (← 실적 콜). 실적 콜에서 한 애널리스트는 레버리지가 "대략 30%"로 돌아왔다고 언급했고, 회사는 자본배분을 "프로그램적이면서 기회적으로" 유지하겠다고 답했다.</w:t>
      </w:r>
    </w:p>
    <w:p>
      <w:pPr>
        <w:spacing w:after="120"/>
      </w:pPr>
      <w:r>
        <w:t>- 재고 증가(+5.5%)와 차입 증가(+24.6%)가 같이 일어나 자기자본은 감소했다. 스코어: Altman Z 3.13, Piotroski F 4 (← StockAnalysis).</w:t>
      </w:r>
    </w:p>
    <w:p/>
    <w:p>
      <w:pPr>
        <w:spacing w:after="120"/>
      </w:pPr>
      <w:r>
        <w:t xml:space="preserve">&gt; </w:t>
      </w:r>
      <w:r>
        <w:rPr>
          <w:b/>
        </w:rPr>
        <w:t>주의 항목:</w:t>
      </w:r>
      <w:r>
        <w:t xml:space="preserve"> 재고 증가와 차입 증가, 환원 규모가 FCF를 초과하는 구조. 금리 부담이 이어질 경우 대차대조표 유연성이 제약될 수 있다.</w:t>
      </w:r>
    </w:p>
    <w:p/>
    <w:p>
      <w:pPr>
        <w:pStyle w:val="Heading3"/>
      </w:pPr>
      <w:r>
        <w:rPr>
          <w:b/>
          <w:color w:val="000000"/>
          <w:sz w:val="24"/>
        </w:rPr>
        <w:t>3.3 성장성 평가</w:t>
      </w:r>
    </w:p>
    <w:p/>
    <w:p>
      <w:pPr>
        <w:spacing w:after="120"/>
      </w:pPr>
      <w:r>
        <w:t>- 매출 YoY: FY2023 -7.1%, FY2024 +8.1%, FY2025 -10.0%, FY2026E -19.2%, FY2027E +2.1% (← StockAnalysis 컨센서스).</w:t>
      </w:r>
    </w:p>
    <w:p>
      <w:pPr>
        <w:spacing w:after="120"/>
      </w:pPr>
      <w:r>
        <w:t>- EPS: FY2025 $6.74(조정) → FY2026E $3.23(-52%) → FY2027E $3.59(+10.9%). 3년 EPS 성장 전망은 -11.6%/년으로 집계된다 (← StockAnalysis).</w:t>
      </w:r>
    </w:p>
    <w:p>
      <w:pPr>
        <w:spacing w:after="120"/>
      </w:pPr>
      <w:r>
        <w:t>- 성장 모멘텀은 FY2026 저점 이후 완만한 회복(FY2027)을 가정하는 구조이며, 회복의 크기는 금리 경로에 달렸다.</w:t>
      </w:r>
    </w:p>
    <w:p/>
    <w:p>
      <w:pPr>
        <w:pStyle w:val="Heading3"/>
      </w:pPr>
      <w:r>
        <w:rPr>
          <w:b/>
          <w:color w:val="000000"/>
          <w:sz w:val="24"/>
        </w:rPr>
        <w:t>3.4 현금흐름 분석 (← StockAnalysis TTM)</w:t>
      </w:r>
    </w:p>
    <w:p/>
    <w:p>
      <w:pPr>
        <w:spacing w:after="120"/>
      </w:pPr>
      <w:r>
        <w:t>- 영업현금흐름 $75.0M, CAPEX $46.3M, FCF $28.7M(FCF 마진 0.55%). 부동산 개발사 특성상 토지·재고 투자로 영업CF가 억제된다.</w:t>
      </w:r>
    </w:p>
    <w:p>
      <w:pPr>
        <w:spacing w:after="120"/>
      </w:pPr>
      <w:r>
        <w:t>- 순차입 $164.3M 증가. 주주환원(자사주 매입 + 배당)이 FCF를 크게 웃돈다(FCF 배당성향 212%, 매입 수익률 11.8%) — 재원이 차입에 의존한다는 뜻이다.</w:t>
      </w:r>
    </w:p>
    <w:p>
      <w:pPr>
        <w:spacing w:after="120"/>
      </w:pPr>
      <w:r>
        <w:t xml:space="preserve">- 컨센서스는 FY2026 FCF $683M을 전망(← StockAnalysis, 13명)한다. TTM 실적($29M)과 차이가 커 4Q 재고 회수가 전제이며, </w:t>
      </w:r>
      <w:r>
        <w:rPr>
          <w:b/>
        </w:rPr>
        <w:t>불확실성이 큰 수치</w:t>
      </w:r>
      <w:r>
        <w:t>로 본다.</w:t>
      </w:r>
    </w:p>
    <w:p/>
    <w:p>
      <w:pPr>
        <w:pStyle w:val="Heading3"/>
      </w:pPr>
      <w:r>
        <w:rPr>
          <w:b/>
          <w:color w:val="000000"/>
          <w:sz w:val="24"/>
        </w:rPr>
        <w:t>3.5 실적 관련 주요 사건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시점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사건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영향</w:t>
            </w:r>
          </w:p>
        </w:tc>
      </w:tr>
      <w:tr>
        <w:tc>
          <w:tcPr>
            <w:tcW w:type="dxa" w:w="3135"/>
          </w:tcPr>
          <w:p>
            <w:r>
              <w:t>2025-12</w:t>
            </w:r>
          </w:p>
        </w:tc>
        <w:tc>
          <w:tcPr>
            <w:tcW w:type="dxa" w:w="3135"/>
          </w:tcPr>
          <w:p>
            <w:r>
              <w:t>FY2025 실적: 매출 $6.24B, EPS $6.15, 환원 $600M+</w:t>
            </w:r>
          </w:p>
        </w:tc>
        <w:tc>
          <w:tcPr>
            <w:tcW w:type="dxa" w:w="3135"/>
          </w:tcPr>
          <w:p>
            <w:r>
              <w:t>중립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2026-03/06</w:t>
            </w:r>
          </w:p>
        </w:tc>
        <w:tc>
          <w:tcPr>
            <w:tcW w:type="dxa" w:w="3135"/>
            <w:shd w:val="clear" w:color="auto" w:fill="F2F2F2"/>
          </w:tcPr>
          <w:p>
            <w:r>
              <w:t>1~2Q26: EPS $0.53/$0.43, 마진 15%대 저점</w:t>
            </w:r>
          </w:p>
        </w:tc>
        <w:tc>
          <w:tcPr>
            <w:tcW w:type="dxa" w:w="3135"/>
            <w:shd w:val="clear" w:color="auto" w:fill="F2F2F2"/>
          </w:tcPr>
          <w:p>
            <w:r>
              <w:t>부정</w:t>
            </w:r>
          </w:p>
        </w:tc>
      </w:tr>
      <w:tr>
        <w:tc>
          <w:tcPr>
            <w:tcW w:type="dxa" w:w="3135"/>
          </w:tcPr>
          <w:p>
            <w:r>
              <w:t>2026-06</w:t>
            </w:r>
          </w:p>
        </w:tc>
        <w:tc>
          <w:tcPr>
            <w:tcW w:type="dxa" w:w="3135"/>
          </w:tcPr>
          <w:p>
            <w:r>
              <w:t>2Q 후 FY 매출 가이던스 $4.9~5.3B로 폭 제시</w:t>
            </w:r>
          </w:p>
        </w:tc>
        <w:tc>
          <w:tcPr>
            <w:tcW w:type="dxa" w:w="3135"/>
          </w:tcPr>
          <w:p>
            <w:r>
              <w:t>중립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2026-09-22</w:t>
            </w:r>
          </w:p>
        </w:tc>
        <w:tc>
          <w:tcPr>
            <w:tcW w:type="dxa" w:w="3135"/>
            <w:shd w:val="clear" w:color="auto" w:fill="F2F2F2"/>
          </w:tcPr>
          <w:p>
            <w:r>
              <w:t>3Q26: EPS $1.05(컨센서스 상회), 마진 16.5%, 그러나 FY 마진·ASP 가이던스 하향</w:t>
            </w:r>
          </w:p>
        </w:tc>
        <w:tc>
          <w:tcPr>
            <w:tcW w:type="dxa" w:w="3135"/>
            <w:shd w:val="clear" w:color="auto" w:fill="F2F2F2"/>
          </w:tcPr>
          <w:p>
            <w:r>
              <w:t>혼재</w:t>
            </w:r>
          </w:p>
        </w:tc>
      </w:tr>
      <w:tr>
        <w:tc>
          <w:tcPr>
            <w:tcW w:type="dxa" w:w="3135"/>
          </w:tcPr>
          <w:p>
            <w:r>
              <w:t>2026-10-15~22</w:t>
            </w:r>
          </w:p>
        </w:tc>
        <w:tc>
          <w:tcPr>
            <w:tcW w:type="dxa" w:w="3135"/>
          </w:tcPr>
          <w:p>
            <w:r>
              <w:t>RBC·Argus·Wells Fargo·KBW 목표가 하향</w:t>
            </w:r>
          </w:p>
        </w:tc>
        <w:tc>
          <w:tcPr>
            <w:tcW w:type="dxa" w:w="3135"/>
          </w:tcPr>
          <w:p>
            <w:r>
              <w:t>부정</w:t>
            </w:r>
          </w:p>
        </w:tc>
      </w:tr>
    </w:tbl>
    <w:p/>
    <w:p>
      <w:pPr>
        <w:pBdr>
          <w:bottom w:val="single" w:sz="6" w:space="1" w:color="2F5496"/>
        </w:pBdr>
      </w:pPr>
    </w:p>
    <w:p/>
    <w:p>
      <w:pPr>
        <w:pStyle w:val="Heading2"/>
      </w:pPr>
      <w:r>
        <w:rPr>
          <w:b/>
          <w:color w:val="2F5496"/>
          <w:sz w:val="28"/>
        </w:rPr>
        <w:t>4. 산업·시장 환경</w:t>
      </w:r>
    </w:p>
    <w:p/>
    <w:p>
      <w:pPr>
        <w:pStyle w:val="Heading3"/>
      </w:pPr>
      <w:r>
        <w:rPr>
          <w:b/>
          <w:color w:val="000000"/>
          <w:sz w:val="24"/>
        </w:rPr>
        <w:t>4.1 산업 내 포지션</w:t>
      </w:r>
    </w:p>
    <w:p/>
    <w:p>
      <w:pPr>
        <w:spacing w:after="120"/>
      </w:pPr>
      <w:r>
        <w:t xml:space="preserve">- </w:t>
      </w:r>
      <w:r>
        <w:rPr>
          <w:b/>
        </w:rPr>
        <w:t>밸류체인:</w:t>
      </w:r>
      <w:r>
        <w:t xml:space="preserve"> 토지 확보·개발 → 착공·시공 → 판매(모델하우스·온라인) → 모기지(제휴 금융 서비스) 순이며 KBH는 BTO 방식으로 고객 주문 후 착공 비중을 높였다. 금융 서비스는 합작법인을 통해 운영하고 모기지 캡처율은 85%(← 실적 콜).</w:t>
      </w:r>
    </w:p>
    <w:p>
      <w:pPr>
        <w:spacing w:after="120"/>
      </w:pPr>
      <w:r>
        <w:t xml:space="preserve">- </w:t>
      </w:r>
      <w:r>
        <w:rPr>
          <w:b/>
        </w:rPr>
        <w:t>동종 비교(10/24~25 수집, ← StockAnalysis):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shd w:val="clear" w:color="auto" w:fill="1F3864"/>
          </w:tcPr>
          <w:p>
            <w:r>
              <w:rPr>
                <w:b/>
                <w:color w:val="FFFFFF"/>
              </w:rPr>
              <w:t>종목</w:t>
            </w:r>
          </w:p>
        </w:tc>
        <w:tc>
          <w:tcPr>
            <w:tcW w:type="dxa" w:w="855"/>
            <w:shd w:val="clear" w:color="auto" w:fill="1F3864"/>
          </w:tcPr>
          <w:p>
            <w:r>
              <w:rPr>
                <w:b/>
                <w:color w:val="FFFFFF"/>
              </w:rPr>
              <w:t>후행 P/E</w:t>
            </w:r>
          </w:p>
        </w:tc>
        <w:tc>
          <w:tcPr>
            <w:tcW w:type="dxa" w:w="855"/>
            <w:shd w:val="clear" w:color="auto" w:fill="1F3864"/>
          </w:tcPr>
          <w:p>
            <w:r>
              <w:rPr>
                <w:b/>
                <w:color w:val="FFFFFF"/>
              </w:rPr>
              <w:t>선행 P/E</w:t>
            </w:r>
          </w:p>
        </w:tc>
        <w:tc>
          <w:tcPr>
            <w:tcW w:type="dxa" w:w="855"/>
            <w:shd w:val="clear" w:color="auto" w:fill="1F3864"/>
          </w:tcPr>
          <w:p>
            <w:r>
              <w:rPr>
                <w:b/>
                <w:color w:val="FFFFFF"/>
              </w:rPr>
              <w:t>P/B</w:t>
            </w:r>
          </w:p>
        </w:tc>
        <w:tc>
          <w:tcPr>
            <w:tcW w:type="dxa" w:w="855"/>
            <w:shd w:val="clear" w:color="auto" w:fill="1F3864"/>
          </w:tcPr>
          <w:p>
            <w:r>
              <w:rPr>
                <w:b/>
                <w:color w:val="FFFFFF"/>
              </w:rPr>
              <w:t>EV/EBITDA</w:t>
            </w:r>
          </w:p>
        </w:tc>
        <w:tc>
          <w:tcPr>
            <w:tcW w:type="dxa" w:w="855"/>
            <w:shd w:val="clear" w:color="auto" w:fill="1F3864"/>
          </w:tcPr>
          <w:p>
            <w:r>
              <w:rPr>
                <w:b/>
                <w:color w:val="FFFFFF"/>
              </w:rPr>
              <w:t>ROE</w:t>
            </w:r>
          </w:p>
        </w:tc>
        <w:tc>
          <w:tcPr>
            <w:tcW w:type="dxa" w:w="855"/>
            <w:shd w:val="clear" w:color="auto" w:fill="1F3864"/>
          </w:tcPr>
          <w:p>
            <w:r>
              <w:rPr>
                <w:b/>
                <w:color w:val="FFFFFF"/>
              </w:rPr>
              <w:t>부채/자본</w:t>
            </w:r>
          </w:p>
        </w:tc>
        <w:tc>
          <w:tcPr>
            <w:tcW w:type="dxa" w:w="855"/>
            <w:shd w:val="clear" w:color="auto" w:fill="1F3864"/>
          </w:tcPr>
          <w:p>
            <w:r>
              <w:rPr>
                <w:b/>
                <w:color w:val="FFFFFF"/>
              </w:rPr>
              <w:t>총마진</w:t>
            </w:r>
          </w:p>
        </w:tc>
        <w:tc>
          <w:tcPr>
            <w:tcW w:type="dxa" w:w="855"/>
            <w:shd w:val="clear" w:color="auto" w:fill="1F3864"/>
          </w:tcPr>
          <w:p>
            <w:r>
              <w:rPr>
                <w:b/>
                <w:color w:val="FFFFFF"/>
              </w:rPr>
              <w:t>영업마진</w:t>
            </w:r>
          </w:p>
        </w:tc>
        <w:tc>
          <w:tcPr>
            <w:tcW w:type="dxa" w:w="855"/>
            <w:shd w:val="clear" w:color="auto" w:fill="1F3864"/>
          </w:tcPr>
          <w:p>
            <w:r>
              <w:rPr>
                <w:b/>
                <w:color w:val="FFFFFF"/>
              </w:rPr>
              <w:t>배당수익률</w:t>
            </w:r>
          </w:p>
        </w:tc>
        <w:tc>
          <w:tcPr>
            <w:tcW w:type="dxa" w:w="855"/>
            <w:shd w:val="clear" w:color="auto" w:fill="1F3864"/>
          </w:tcPr>
          <w:p>
            <w:r>
              <w:rPr>
                <w:b/>
                <w:color w:val="FFFFFF"/>
              </w:rPr>
              <w:t>52주</w:t>
            </w:r>
          </w:p>
        </w:tc>
      </w:tr>
      <w:tr>
        <w:tc>
          <w:tcPr>
            <w:tcW w:type="dxa" w:w="855"/>
          </w:tcPr>
          <w:p>
            <w:r>
              <w:t>KB Home</w:t>
            </w:r>
          </w:p>
        </w:tc>
        <w:tc>
          <w:tcPr>
            <w:tcW w:type="dxa" w:w="855"/>
          </w:tcPr>
          <w:p>
            <w:r>
              <w:t>13.2x</w:t>
            </w:r>
          </w:p>
        </w:tc>
        <w:tc>
          <w:tcPr>
            <w:tcW w:type="dxa" w:w="855"/>
          </w:tcPr>
          <w:p>
            <w:r>
              <w:t>13.7x</w:t>
            </w:r>
          </w:p>
        </w:tc>
        <w:tc>
          <w:tcPr>
            <w:tcW w:type="dxa" w:w="855"/>
          </w:tcPr>
          <w:p>
            <w:r>
              <w:t>0.75x</w:t>
            </w:r>
          </w:p>
        </w:tc>
        <w:tc>
          <w:tcPr>
            <w:tcW w:type="dxa" w:w="855"/>
          </w:tcPr>
          <w:p>
            <w:r>
              <w:t>14.2x</w:t>
            </w:r>
          </w:p>
        </w:tc>
        <w:tc>
          <w:tcPr>
            <w:tcW w:type="dxa" w:w="855"/>
          </w:tcPr>
          <w:p>
            <w:r>
              <w:rPr>
                <w:color w:val="007000"/>
              </w:rPr>
              <w:t>5.9%</w:t>
            </w:r>
          </w:p>
        </w:tc>
        <w:tc>
          <w:tcPr>
            <w:tcW w:type="dxa" w:w="855"/>
          </w:tcPr>
          <w:p>
            <w:r>
              <w:t>0.56</w:t>
            </w:r>
          </w:p>
        </w:tc>
        <w:tc>
          <w:tcPr>
            <w:tcW w:type="dxa" w:w="855"/>
          </w:tcPr>
          <w:p>
            <w:r>
              <w:rPr>
                <w:color w:val="007000"/>
              </w:rPr>
              <w:t>17.1%</w:t>
            </w:r>
          </w:p>
        </w:tc>
        <w:tc>
          <w:tcPr>
            <w:tcW w:type="dxa" w:w="855"/>
          </w:tcPr>
          <w:p>
            <w:r>
              <w:rPr>
                <w:color w:val="007000"/>
              </w:rPr>
              <w:t>5.8%</w:t>
            </w:r>
          </w:p>
        </w:tc>
        <w:tc>
          <w:tcPr>
            <w:tcW w:type="dxa" w:w="855"/>
          </w:tcPr>
          <w:p>
            <w:r>
              <w:rPr>
                <w:color w:val="007000"/>
              </w:rPr>
              <w:t>2.1%</w:t>
            </w:r>
          </w:p>
        </w:tc>
        <w:tc>
          <w:tcPr>
            <w:tcW w:type="dxa" w:w="855"/>
          </w:tcPr>
          <w:p>
            <w:r>
              <w:rPr>
                <w:color w:val="C00000"/>
              </w:rPr>
              <w:t>-24.8%</w:t>
            </w:r>
          </w:p>
        </w:tc>
      </w:tr>
      <w:tr>
        <w:tc>
          <w:tcPr>
            <w:tcW w:type="dxa" w:w="855"/>
            <w:shd w:val="clear" w:color="auto" w:fill="F2F2F2"/>
          </w:tcPr>
          <w:p>
            <w:r>
              <w:t>D.R. Horton</w:t>
            </w:r>
          </w:p>
        </w:tc>
        <w:tc>
          <w:tcPr>
            <w:tcW w:type="dxa" w:w="855"/>
            <w:shd w:val="clear" w:color="auto" w:fill="F2F2F2"/>
          </w:tcPr>
          <w:p>
            <w:r>
              <w:t>14.0x</w:t>
            </w:r>
          </w:p>
        </w:tc>
        <w:tc>
          <w:tcPr>
            <w:tcW w:type="dxa" w:w="855"/>
            <w:shd w:val="clear" w:color="auto" w:fill="F2F2F2"/>
          </w:tcPr>
          <w:p>
            <w:r>
              <w:t>13.8x</w:t>
            </w:r>
          </w:p>
        </w:tc>
        <w:tc>
          <w:tcPr>
            <w:tcW w:type="dxa" w:w="855"/>
            <w:shd w:val="clear" w:color="auto" w:fill="F2F2F2"/>
          </w:tcPr>
          <w:p>
            <w:r>
              <w:t>1.74x</w:t>
            </w:r>
          </w:p>
        </w:tc>
        <w:tc>
          <w:tcPr>
            <w:tcW w:type="dxa" w:w="855"/>
            <w:shd w:val="clear" w:color="auto" w:fill="F2F2F2"/>
          </w:tcPr>
          <w:p>
            <w:r>
              <w:t>11.2x</w:t>
            </w:r>
          </w:p>
        </w:tc>
        <w:tc>
          <w:tcPr>
            <w:tcW w:type="dxa" w:w="855"/>
            <w:shd w:val="clear" w:color="auto" w:fill="F2F2F2"/>
          </w:tcPr>
          <w:p>
            <w:r>
              <w:rPr>
                <w:color w:val="007000"/>
              </w:rPr>
              <w:t>12.6%</w:t>
            </w:r>
          </w:p>
        </w:tc>
        <w:tc>
          <w:tcPr>
            <w:tcW w:type="dxa" w:w="855"/>
            <w:shd w:val="clear" w:color="auto" w:fill="F2F2F2"/>
          </w:tcPr>
          <w:p>
            <w:r>
              <w:t>0.29</w:t>
            </w:r>
          </w:p>
        </w:tc>
        <w:tc>
          <w:tcPr>
            <w:tcW w:type="dxa" w:w="855"/>
            <w:shd w:val="clear" w:color="auto" w:fill="F2F2F2"/>
          </w:tcPr>
          <w:p>
            <w:r>
              <w:rPr>
                <w:color w:val="007000"/>
              </w:rPr>
              <w:t>21.3%</w:t>
            </w:r>
          </w:p>
        </w:tc>
        <w:tc>
          <w:tcPr>
            <w:tcW w:type="dxa" w:w="855"/>
            <w:shd w:val="clear" w:color="auto" w:fill="F2F2F2"/>
          </w:tcPr>
          <w:p>
            <w:r>
              <w:rPr>
                <w:color w:val="007000"/>
              </w:rPr>
              <w:t>12.0%</w:t>
            </w:r>
          </w:p>
        </w:tc>
        <w:tc>
          <w:tcPr>
            <w:tcW w:type="dxa" w:w="855"/>
            <w:shd w:val="clear" w:color="auto" w:fill="F2F2F2"/>
          </w:tcPr>
          <w:p>
            <w:r>
              <w:rPr>
                <w:color w:val="007000"/>
              </w:rPr>
              <w:t>1.2%</w:t>
            </w:r>
          </w:p>
        </w:tc>
        <w:tc>
          <w:tcPr>
            <w:tcW w:type="dxa" w:w="855"/>
            <w:shd w:val="clear" w:color="auto" w:fill="F2F2F2"/>
          </w:tcPr>
          <w:p>
            <w:r>
              <w:rPr>
                <w:color w:val="C00000"/>
              </w:rPr>
              <w:t>-6.8%</w:t>
            </w:r>
          </w:p>
        </w:tc>
      </w:tr>
      <w:tr>
        <w:tc>
          <w:tcPr>
            <w:tcW w:type="dxa" w:w="855"/>
          </w:tcPr>
          <w:p>
            <w:r>
              <w:t>Lennar</w:t>
            </w:r>
          </w:p>
        </w:tc>
        <w:tc>
          <w:tcPr>
            <w:tcW w:type="dxa" w:w="855"/>
          </w:tcPr>
          <w:p>
            <w:r>
              <w:t>16.0x</w:t>
            </w:r>
          </w:p>
        </w:tc>
        <w:tc>
          <w:tcPr>
            <w:tcW w:type="dxa" w:w="855"/>
          </w:tcPr>
          <w:p>
            <w:r>
              <w:t>17.9x</w:t>
            </w:r>
          </w:p>
        </w:tc>
        <w:tc>
          <w:tcPr>
            <w:tcW w:type="dxa" w:w="855"/>
          </w:tcPr>
          <w:p>
            <w:r>
              <w:t>0.94x</w:t>
            </w:r>
          </w:p>
        </w:tc>
        <w:tc>
          <w:tcPr>
            <w:tcW w:type="dxa" w:w="855"/>
          </w:tcPr>
          <w:p>
            <w:r>
              <w:t>12.7x</w:t>
            </w:r>
          </w:p>
        </w:tc>
        <w:tc>
          <w:tcPr>
            <w:tcW w:type="dxa" w:w="855"/>
          </w:tcPr>
          <w:p>
            <w:r>
              <w:rPr>
                <w:color w:val="007000"/>
              </w:rPr>
              <w:t>6.0%</w:t>
            </w:r>
          </w:p>
        </w:tc>
        <w:tc>
          <w:tcPr>
            <w:tcW w:type="dxa" w:w="855"/>
          </w:tcPr>
          <w:p>
            <w:r>
              <w:t>0.28</w:t>
            </w:r>
          </w:p>
        </w:tc>
        <w:tc>
          <w:tcPr>
            <w:tcW w:type="dxa" w:w="855"/>
          </w:tcPr>
          <w:p>
            <w:r>
              <w:rPr>
                <w:color w:val="007000"/>
              </w:rPr>
              <w:t>16.0%</w:t>
            </w:r>
          </w:p>
        </w:tc>
        <w:tc>
          <w:tcPr>
            <w:tcW w:type="dxa" w:w="855"/>
          </w:tcPr>
          <w:p>
            <w:r>
              <w:rPr>
                <w:color w:val="007000"/>
              </w:rPr>
              <w:t>5.8%</w:t>
            </w:r>
          </w:p>
        </w:tc>
        <w:tc>
          <w:tcPr>
            <w:tcW w:type="dxa" w:w="855"/>
          </w:tcPr>
          <w:p>
            <w:r>
              <w:rPr>
                <w:color w:val="007000"/>
              </w:rPr>
              <w:t>2.4%</w:t>
            </w:r>
          </w:p>
        </w:tc>
        <w:tc>
          <w:tcPr>
            <w:tcW w:type="dxa" w:w="855"/>
          </w:tcPr>
          <w:p>
            <w:r>
              <w:rPr>
                <w:color w:val="C00000"/>
              </w:rPr>
              <w:t>-33.2%</w:t>
            </w:r>
          </w:p>
        </w:tc>
      </w:tr>
      <w:tr>
        <w:tc>
          <w:tcPr>
            <w:tcW w:type="dxa" w:w="855"/>
            <w:shd w:val="clear" w:color="auto" w:fill="F2F2F2"/>
          </w:tcPr>
          <w:p>
            <w:r>
              <w:t>PulteGroup</w:t>
            </w:r>
          </w:p>
        </w:tc>
        <w:tc>
          <w:tcPr>
            <w:tcW w:type="dxa" w:w="855"/>
            <w:shd w:val="clear" w:color="auto" w:fill="F2F2F2"/>
          </w:tcPr>
          <w:p>
            <w:r>
              <w:t>13.0x</w:t>
            </w:r>
          </w:p>
        </w:tc>
        <w:tc>
          <w:tcPr>
            <w:tcW w:type="dxa" w:w="855"/>
            <w:shd w:val="clear" w:color="auto" w:fill="F2F2F2"/>
          </w:tcPr>
          <w:p>
            <w:r>
              <w:t>13.0x</w:t>
            </w:r>
          </w:p>
        </w:tc>
        <w:tc>
          <w:tcPr>
            <w:tcW w:type="dxa" w:w="855"/>
            <w:shd w:val="clear" w:color="auto" w:fill="F2F2F2"/>
          </w:tcPr>
          <w:p>
            <w:r>
              <w:t>1.71x</w:t>
            </w:r>
          </w:p>
        </w:tc>
        <w:tc>
          <w:tcPr>
            <w:tcW w:type="dxa" w:w="855"/>
            <w:shd w:val="clear" w:color="auto" w:fill="F2F2F2"/>
          </w:tcPr>
          <w:p>
            <w:r>
              <w:t>9.0x</w:t>
            </w:r>
          </w:p>
        </w:tc>
        <w:tc>
          <w:tcPr>
            <w:tcW w:type="dxa" w:w="855"/>
            <w:shd w:val="clear" w:color="auto" w:fill="F2F2F2"/>
          </w:tcPr>
          <w:p>
            <w:r>
              <w:rPr>
                <w:color w:val="007000"/>
              </w:rPr>
              <w:t>13.9%</w:t>
            </w:r>
          </w:p>
        </w:tc>
        <w:tc>
          <w:tcPr>
            <w:tcW w:type="dxa" w:w="855"/>
            <w:shd w:val="clear" w:color="auto" w:fill="F2F2F2"/>
          </w:tcPr>
          <w:p>
            <w:r>
              <w:t>0.18</w:t>
            </w:r>
          </w:p>
        </w:tc>
        <w:tc>
          <w:tcPr>
            <w:tcW w:type="dxa" w:w="855"/>
            <w:shd w:val="clear" w:color="auto" w:fill="F2F2F2"/>
          </w:tcPr>
          <w:p>
            <w:r>
              <w:rPr>
                <w:color w:val="007000"/>
              </w:rPr>
              <w:t>25.3%</w:t>
            </w:r>
          </w:p>
        </w:tc>
        <w:tc>
          <w:tcPr>
            <w:tcW w:type="dxa" w:w="855"/>
            <w:shd w:val="clear" w:color="auto" w:fill="F2F2F2"/>
          </w:tcPr>
          <w:p>
            <w:r>
              <w:rPr>
                <w:color w:val="007000"/>
              </w:rPr>
              <w:t>15.6%</w:t>
            </w:r>
          </w:p>
        </w:tc>
        <w:tc>
          <w:tcPr>
            <w:tcW w:type="dxa" w:w="855"/>
            <w:shd w:val="clear" w:color="auto" w:fill="F2F2F2"/>
          </w:tcPr>
          <w:p>
            <w:r>
              <w:rPr>
                <w:color w:val="007000"/>
              </w:rPr>
              <w:t>0.9%</w:t>
            </w:r>
          </w:p>
        </w:tc>
        <w:tc>
          <w:tcPr>
            <w:tcW w:type="dxa" w:w="855"/>
            <w:shd w:val="clear" w:color="auto" w:fill="F2F2F2"/>
          </w:tcPr>
          <w:p>
            <w:r>
              <w:rPr>
                <w:color w:val="007000"/>
              </w:rPr>
              <w:t>+0.8%</w:t>
            </w:r>
          </w:p>
        </w:tc>
      </w:tr>
    </w:tbl>
    <w:p/>
    <w:p>
      <w:pPr>
        <w:spacing w:after="120"/>
      </w:pPr>
      <w:r>
        <w:t xml:space="preserve">- </w:t>
      </w:r>
      <w:r>
        <w:rPr>
          <w:b/>
        </w:rPr>
        <w:t>해석:</w:t>
      </w:r>
      <w:r>
        <w:t xml:space="preserve"> KBH의 수익성(ROE 5.9%, 영업마진 5.8%)은 Lennar와 유사하고 DHI·PHM(ROE 12~14%)에는 크게 못 미친다. P/B는 DHI·PHM의 절반 이하지만 Lennar(0.94x) 대비로도 낮다. 이는 ROE 격차(+부채/자본 0.56으로 가장 높음)를 반영한 할인으로 볼 수 있다(추정). EV/EBITDA가 높은 것은 EBITDA 저점 때문으로, 홈빌더 EV/EBITDA는 자본화 이자 때문에 신뢰도가 낮다.</w:t>
      </w:r>
    </w:p>
    <w:p/>
    <w:p>
      <w:pPr>
        <w:pStyle w:val="Heading3"/>
      </w:pPr>
      <w:r>
        <w:rPr>
          <w:b/>
          <w:color w:val="000000"/>
          <w:sz w:val="24"/>
        </w:rPr>
        <w:t>4.2 단기 산업 환경 (1년)</w:t>
      </w:r>
    </w:p>
    <w:p/>
    <w:p>
      <w:pPr>
        <w:spacing w:after="120"/>
      </w:pPr>
      <w:r>
        <w:t xml:space="preserve">- </w:t>
      </w:r>
      <w:r>
        <w:rPr>
          <w:b/>
        </w:rPr>
        <w:t>금리가 지배 변수.</w:t>
      </w:r>
      <w:r>
        <w:t xml:space="preserve"> 연준은 2026-09-16 FOMC에서 정책금리를 인상해 3.75~4.00%가 되었다(3년 만의 첫 인상, ← J.P. Morgan·Mortgage Reports). Freddie Mac 30년 고정 모기지 금리는 10/22 7.32%(10/15 7.40%, 9/24 7.03%, 전년 동기 6.19%) (← Freddie Mac/FRED).</w:t>
      </w:r>
    </w:p>
    <w:p>
      <w:pPr>
        <w:spacing w:after="120"/>
      </w:pPr>
      <w:r>
        <w:t>- 10년 국채 금리는 5%를 넘었다가 10/22 하루에 10~14bp 하락해 5% 안팎(← Yahoo Finance/Perplexity)으로 내려오며 건설주가 반등했다.</w:t>
      </w:r>
    </w:p>
    <w:p>
      <w:pPr>
        <w:spacing w:after="120"/>
      </w:pPr>
      <w:r>
        <w:t>- 주택 지표: 기존주택 판매는 2026년 상반기 -4.2%, 6월 연율 409만 건(← NAR via J.P. Morgan). 중간 가격은 7월 $440,600로 사상 최고, J.P. Morgan은 2026년 주택가격 보합·2027년 +3%를 전망한다.</w:t>
      </w:r>
    </w:p>
    <w:p>
      <w:pPr>
        <w:spacing w:after="120"/>
      </w:pPr>
      <w:r>
        <w:t xml:space="preserve">- </w:t>
      </w:r>
      <w:r>
        <w:rPr>
          <w:b/>
        </w:rPr>
        <w:t>전망 변경에 유의:</w:t>
      </w:r>
      <w:r>
        <w:t xml:space="preserve"> 연초 NAHB(2월)는 2026년 연준 2회 인하와 모기지 금리 6%대 초반을 예상했고, Fannie Mae·SoFi(2~4월)도 6% 안팎을 전제했다. 실제 흐름은 인상과 7%대 모기지로 전제가 반대로 바뀌어, 상반기 전망치는 현 상황에 맞지 않는다(시점 불일치 병기).</w:t>
      </w:r>
    </w:p>
    <w:p>
      <w:pPr>
        <w:spacing w:after="120"/>
      </w:pPr>
      <w:r>
        <w:t xml:space="preserve">- </w:t>
      </w:r>
      <w:r>
        <w:rPr>
          <w:b/>
        </w:rPr>
        <w:t>단기 시나리오 확률(본 분석 판단):</w:t>
      </w:r>
      <w:r>
        <w:t xml:space="preserve"> 금리 정체·고착 50% / 금리 하락 전환 30% / 추가 상승 20%. (Industry 에이전트 없음. 기본 앵커 30/50/20과 일치하게 설정)</w:t>
      </w:r>
    </w:p>
    <w:p/>
    <w:p>
      <w:pPr>
        <w:pStyle w:val="Heading3"/>
      </w:pPr>
      <w:r>
        <w:rPr>
          <w:b/>
          <w:color w:val="000000"/>
          <w:sz w:val="24"/>
        </w:rPr>
        <w:t>4.3 중기 산업 환경 (1~3년)</w:t>
      </w:r>
    </w:p>
    <w:p/>
    <w:p>
      <w:pPr>
        <w:spacing w:after="120"/>
      </w:pPr>
      <w:r>
        <w:t xml:space="preserve">- </w:t>
      </w:r>
      <w:r>
        <w:rPr>
          <w:b/>
        </w:rPr>
        <w:t>구조적 수요:</w:t>
      </w:r>
      <w:r>
        <w:t xml:space="preserve"> 주택 부족, 밀레니얼·Gen Z 첫 구매 수요는 존재하나 어포더빌리티(주택 비용/소득 35% — J.P. Morgan)가 제약한다. 기존주택 잠금효과(모기지 6% 이하 보유 약 80% — Realtor.com/NAHB 2월)는 완화 중이나 지속 중이다.</w:t>
      </w:r>
    </w:p>
    <w:p>
      <w:pPr>
        <w:spacing w:after="120"/>
      </w:pPr>
      <w:r>
        <w:t xml:space="preserve">- </w:t>
      </w:r>
      <w:r>
        <w:rPr>
          <w:b/>
        </w:rPr>
        <w:t>공급:</w:t>
      </w:r>
      <w:r>
        <w:t xml:space="preserve"> NAHB는 단독주택 착공이 2026년 +1.0%, 2027년 +5%를 예상(2월 전망). Fannie Mae 4월 전망은 2026년 단독 착공 -4.2%.</w:t>
      </w:r>
    </w:p>
    <w:p>
      <w:pPr>
        <w:spacing w:after="120"/>
      </w:pPr>
      <w:r>
        <w:t xml:space="preserve">- </w:t>
      </w:r>
      <w:r>
        <w:rPr>
          <w:b/>
        </w:rPr>
        <w:t>리스크:</w:t>
      </w:r>
      <w:r>
        <w:t xml:space="preserve"> 금리 고착, 건설 자재·인건비 상승(NAHB: 자재 가격 증가율이 2025-06 이후 3% 상회, 연 74만 명 인력 부족), 경기 둔화.</w:t>
      </w:r>
    </w:p>
    <w:p>
      <w:pPr>
        <w:spacing w:after="120"/>
      </w:pPr>
      <w:r>
        <w:t xml:space="preserve">- </w:t>
      </w:r>
      <w:r>
        <w:rPr>
          <w:b/>
        </w:rPr>
        <w:t>KBH 시사점:</w:t>
      </w:r>
      <w:r>
        <w:t xml:space="preserve"> BTO 비중이 높아 금리 변동 시 수주 변동은 커지지만 재고 손상 리스크는 낮다. 2027년까지 West Coast 고마진 믹스가 일부 상쇄 요인이다 (← 실적 콜).</w:t>
      </w:r>
    </w:p>
    <w:p/>
    <w:p>
      <w:pPr>
        <w:pStyle w:val="Heading3"/>
      </w:pPr>
      <w:r>
        <w:rPr>
          <w:b/>
          <w:color w:val="000000"/>
          <w:sz w:val="24"/>
        </w:rPr>
        <w:t>4.4 뉴스 기반 이슈 보완</w:t>
      </w:r>
    </w:p>
    <w:p/>
    <w:p>
      <w:pPr>
        <w:spacing w:after="120"/>
      </w:pPr>
      <w:r>
        <w:t>- 10/22: 장기금리 하락에 KBH +6.2%(MarketBeat). 변동성이 크며, 공매도 잔고가 한 달 새 7.54M → 9.48M(비중 15.6%)로 늘었다 (← StockAnalysis).</w:t>
      </w:r>
    </w:p>
    <w:p>
      <w:pPr>
        <w:spacing w:after="120"/>
      </w:pPr>
      <w:r>
        <w:t>- 건설주 전반이 금리 충격으로 압박: LEN 52주 -33%, KBH -25%, DHI -7%, PHM +1% — 사업모델별 차이(DHI·PHM의 높은 ROE, 낮은 레버리지)가 반영된 모습이다.</w:t>
      </w:r>
    </w:p>
    <w:p/>
    <w:p>
      <w:pPr>
        <w:pBdr>
          <w:bottom w:val="single" w:sz="6" w:space="1" w:color="2F5496"/>
        </w:pBdr>
      </w:pPr>
    </w:p>
    <w:p/>
    <w:p>
      <w:pPr>
        <w:pStyle w:val="Heading2"/>
      </w:pPr>
      <w:r>
        <w:rPr>
          <w:b/>
          <w:color w:val="2F5496"/>
          <w:sz w:val="28"/>
        </w:rPr>
        <w:t>5. 애널리스트·뉴스 종합</w:t>
      </w:r>
    </w:p>
    <w:p/>
    <w:p>
      <w:pPr>
        <w:pStyle w:val="Heading3"/>
      </w:pPr>
      <w:r>
        <w:rPr>
          <w:b/>
          <w:color w:val="000000"/>
          <w:sz w:val="24"/>
        </w:rPr>
        <w:t>5.1 월가 컨센서스 (← StockAnalysis/S&amp;P Global, MarketBeat)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t>등급 분포 (2026-10, 17명)</w:t>
            </w:r>
          </w:p>
        </w:tc>
        <w:tc>
          <w:tcPr>
            <w:tcW w:type="dxa" w:w="4703"/>
          </w:tcPr>
          <w:p>
            <w:r>
              <w:t>Strong Buy 1 / Buy 2 / Hold 10 / Sell 0 / Strong Sell 4 → 컨센서스 **Hold**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t>평균 목표주가</w:t>
            </w:r>
          </w:p>
        </w:tc>
        <w:tc>
          <w:tcPr>
            <w:tcW w:type="dxa" w:w="4703"/>
            <w:shd w:val="clear" w:color="auto" w:fill="F2F2F2"/>
          </w:tcPr>
          <w:p>
            <w:r>
              <w:t>$51.14 (StockAnalysis) · $52.23 (MarketBeat) · $51.57 (Public) · $56 (StockStory) — 집계처마다 상이</w:t>
            </w:r>
          </w:p>
        </w:tc>
      </w:tr>
      <w:tr>
        <w:tc>
          <w:tcPr>
            <w:tcW w:type="dxa" w:w="4703"/>
          </w:tcPr>
          <w:p>
            <w:r>
              <w:t>범위</w:t>
            </w:r>
          </w:p>
        </w:tc>
        <w:tc>
          <w:tcPr>
            <w:tcW w:type="dxa" w:w="4703"/>
          </w:tcPr>
          <w:p>
            <w:r>
              <w:t>저 $34(Argus, 10/15 하향) ~ 고 $70. 집계 사이트의 "저 $39"는 Argus 하향분을 반영하지 못한 값으로 보인다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t>중앙값</w:t>
            </w:r>
          </w:p>
        </w:tc>
        <w:tc>
          <w:tcPr>
            <w:tcW w:type="dxa" w:w="4703"/>
            <w:shd w:val="clear" w:color="auto" w:fill="F2F2F2"/>
          </w:tcPr>
          <w:p>
            <w:r>
              <w:t>$49.5 → 현재가 대비 +5.2%</w:t>
            </w:r>
          </w:p>
        </w:tc>
      </w:tr>
      <w:tr>
        <w:tc>
          <w:tcPr>
            <w:tcW w:type="dxa" w:w="4703"/>
          </w:tcPr>
          <w:p>
            <w:r>
              <w:t>컨센서스 EPS</w:t>
            </w:r>
          </w:p>
        </w:tc>
        <w:tc>
          <w:tcPr>
            <w:tcW w:type="dxa" w:w="4703"/>
          </w:tcPr>
          <w:p>
            <w:r>
              <w:t>FY2026E $3.23(범위 $3.03~3.81), FY2027E $3.59</w:t>
            </w:r>
          </w:p>
        </w:tc>
      </w:tr>
    </w:tbl>
    <w:p/>
    <w:p>
      <w:pPr>
        <w:spacing w:after="120"/>
      </w:pPr>
      <w:r/>
      <w:r>
        <w:rPr>
          <w:b/>
        </w:rPr>
        <w:t>최근 의견 변화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일자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증권사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의견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목표가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현재가 대비</w:t>
            </w:r>
          </w:p>
        </w:tc>
      </w:tr>
      <w:tr>
        <w:tc>
          <w:tcPr>
            <w:tcW w:type="dxa" w:w="1881"/>
          </w:tcPr>
          <w:p>
            <w:r>
              <w:t>10/22</w:t>
            </w:r>
          </w:p>
        </w:tc>
        <w:tc>
          <w:tcPr>
            <w:tcW w:type="dxa" w:w="1881"/>
          </w:tcPr>
          <w:p>
            <w:r>
              <w:t>KBW</w:t>
            </w:r>
          </w:p>
        </w:tc>
        <w:tc>
          <w:tcPr>
            <w:tcW w:type="dxa" w:w="1881"/>
          </w:tcPr>
          <w:p>
            <w:r>
              <w:t>Hold</w:t>
            </w:r>
          </w:p>
        </w:tc>
        <w:tc>
          <w:tcPr>
            <w:tcW w:type="dxa" w:w="1881"/>
          </w:tcPr>
          <w:p>
            <w:r>
              <w:t>$54 → $48</w:t>
            </w:r>
          </w:p>
        </w:tc>
        <w:tc>
          <w:tcPr>
            <w:tcW w:type="dxa" w:w="1881"/>
          </w:tcPr>
          <w:p>
            <w:r>
              <w:rPr>
                <w:color w:val="007000"/>
              </w:rPr>
              <w:t>+2.0%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t>10/16</w:t>
            </w:r>
          </w:p>
        </w:tc>
        <w:tc>
          <w:tcPr>
            <w:tcW w:type="dxa" w:w="1881"/>
            <w:shd w:val="clear" w:color="auto" w:fill="F2F2F2"/>
          </w:tcPr>
          <w:p>
            <w:r>
              <w:t>Wells Fargo</w:t>
            </w:r>
          </w:p>
        </w:tc>
        <w:tc>
          <w:tcPr>
            <w:tcW w:type="dxa" w:w="1881"/>
            <w:shd w:val="clear" w:color="auto" w:fill="F2F2F2"/>
          </w:tcPr>
          <w:p>
            <w:r>
              <w:t>Sell</w:t>
            </w:r>
          </w:p>
        </w:tc>
        <w:tc>
          <w:tcPr>
            <w:tcW w:type="dxa" w:w="1881"/>
            <w:shd w:val="clear" w:color="auto" w:fill="F2F2F2"/>
          </w:tcPr>
          <w:p>
            <w:r>
              <w:t>$50 → $42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color w:val="C00000"/>
              </w:rPr>
              <w:t>-10.7%</w:t>
            </w:r>
          </w:p>
        </w:tc>
      </w:tr>
      <w:tr>
        <w:tc>
          <w:tcPr>
            <w:tcW w:type="dxa" w:w="1881"/>
          </w:tcPr>
          <w:p>
            <w:r>
              <w:t>10/16</w:t>
            </w:r>
          </w:p>
        </w:tc>
        <w:tc>
          <w:tcPr>
            <w:tcW w:type="dxa" w:w="1881"/>
          </w:tcPr>
          <w:p>
            <w:r>
              <w:t>StoneX</w:t>
            </w:r>
          </w:p>
        </w:tc>
        <w:tc>
          <w:tcPr>
            <w:tcW w:type="dxa" w:w="1881"/>
          </w:tcPr>
          <w:p>
            <w:r>
              <w:t>Hold(신규)</w:t>
            </w:r>
          </w:p>
        </w:tc>
        <w:tc>
          <w:tcPr>
            <w:tcW w:type="dxa" w:w="1881"/>
          </w:tcPr>
          <w:p>
            <w:r>
              <w:t>-</w:t>
            </w:r>
          </w:p>
        </w:tc>
        <w:tc>
          <w:tcPr>
            <w:tcW w:type="dxa" w:w="1881"/>
          </w:tcPr>
          <w:p>
            <w:r>
              <w:t>-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t>10/15</w:t>
            </w:r>
          </w:p>
        </w:tc>
        <w:tc>
          <w:tcPr>
            <w:tcW w:type="dxa" w:w="1881"/>
            <w:shd w:val="clear" w:color="auto" w:fill="F2F2F2"/>
          </w:tcPr>
          <w:p>
            <w:r>
              <w:t>RBC</w:t>
            </w:r>
          </w:p>
        </w:tc>
        <w:tc>
          <w:tcPr>
            <w:tcW w:type="dxa" w:w="1881"/>
            <w:shd w:val="clear" w:color="auto" w:fill="F2F2F2"/>
          </w:tcPr>
          <w:p>
            <w:r>
              <w:t>Hold</w:t>
            </w:r>
          </w:p>
        </w:tc>
        <w:tc>
          <w:tcPr>
            <w:tcW w:type="dxa" w:w="1881"/>
            <w:shd w:val="clear" w:color="auto" w:fill="F2F2F2"/>
          </w:tcPr>
          <w:p>
            <w:r>
              <w:t>$50 → $47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color w:val="C00000"/>
              </w:rPr>
              <w:t>-0.1%</w:t>
            </w:r>
          </w:p>
        </w:tc>
      </w:tr>
      <w:tr>
        <w:tc>
          <w:tcPr>
            <w:tcW w:type="dxa" w:w="1881"/>
          </w:tcPr>
          <w:p>
            <w:r>
              <w:t>10/15</w:t>
            </w:r>
          </w:p>
        </w:tc>
        <w:tc>
          <w:tcPr>
            <w:tcW w:type="dxa" w:w="1881"/>
          </w:tcPr>
          <w:p>
            <w:r>
              <w:t>Argus</w:t>
            </w:r>
          </w:p>
        </w:tc>
        <w:tc>
          <w:tcPr>
            <w:tcW w:type="dxa" w:w="1881"/>
          </w:tcPr>
          <w:p>
            <w:r>
              <w:t>Hold</w:t>
            </w:r>
          </w:p>
        </w:tc>
        <w:tc>
          <w:tcPr>
            <w:tcW w:type="dxa" w:w="1881"/>
          </w:tcPr>
          <w:p>
            <w:r>
              <w:t>$38 → $34</w:t>
            </w:r>
          </w:p>
        </w:tc>
        <w:tc>
          <w:tcPr>
            <w:tcW w:type="dxa" w:w="1881"/>
          </w:tcPr>
          <w:p>
            <w:r>
              <w:rPr>
                <w:color w:val="C00000"/>
              </w:rPr>
              <w:t>-27.7%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t>9/23</w:t>
            </w:r>
          </w:p>
        </w:tc>
        <w:tc>
          <w:tcPr>
            <w:tcW w:type="dxa" w:w="1881"/>
            <w:shd w:val="clear" w:color="auto" w:fill="F2F2F2"/>
          </w:tcPr>
          <w:p>
            <w:r>
              <w:t>Citigroup</w:t>
            </w:r>
          </w:p>
        </w:tc>
        <w:tc>
          <w:tcPr>
            <w:tcW w:type="dxa" w:w="1881"/>
            <w:shd w:val="clear" w:color="auto" w:fill="F2F2F2"/>
          </w:tcPr>
          <w:p>
            <w:r>
              <w:t>Outperform 재확인</w:t>
            </w:r>
          </w:p>
        </w:tc>
        <w:tc>
          <w:tcPr>
            <w:tcW w:type="dxa" w:w="1881"/>
            <w:shd w:val="clear" w:color="auto" w:fill="F2F2F2"/>
          </w:tcPr>
          <w:p>
            <w:r>
              <w:t>-</w:t>
            </w:r>
          </w:p>
        </w:tc>
        <w:tc>
          <w:tcPr>
            <w:tcW w:type="dxa" w:w="1881"/>
            <w:shd w:val="clear" w:color="auto" w:fill="F2F2F2"/>
          </w:tcPr>
          <w:p>
            <w:r>
              <w:t>(MarketBeat 인용)</w:t>
            </w:r>
          </w:p>
        </w:tc>
      </w:tr>
      <w:tr>
        <w:tc>
          <w:tcPr>
            <w:tcW w:type="dxa" w:w="1881"/>
          </w:tcPr>
          <w:p>
            <w:r>
              <w:t>10/16</w:t>
            </w:r>
          </w:p>
        </w:tc>
        <w:tc>
          <w:tcPr>
            <w:tcW w:type="dxa" w:w="1881"/>
          </w:tcPr>
          <w:p>
            <w:r>
              <w:t>Zacks Research</w:t>
            </w:r>
          </w:p>
        </w:tc>
        <w:tc>
          <w:tcPr>
            <w:tcW w:type="dxa" w:w="1881"/>
          </w:tcPr>
          <w:p>
            <w:r>
              <w:t>Strong Sell → Hold</w:t>
            </w:r>
          </w:p>
        </w:tc>
        <w:tc>
          <w:tcPr>
            <w:tcW w:type="dxa" w:w="1881"/>
          </w:tcPr>
          <w:p>
            <w:r>
              <w:t>-</w:t>
            </w:r>
          </w:p>
        </w:tc>
        <w:tc>
          <w:tcPr>
            <w:tcW w:type="dxa" w:w="1881"/>
          </w:tcPr>
          <w:p>
            <w:r>
              <w:t>-</w:t>
            </w:r>
          </w:p>
        </w:tc>
      </w:tr>
    </w:tbl>
    <w:p/>
    <w:p>
      <w:pPr>
        <w:spacing w:after="120"/>
      </w:pPr>
      <w:r>
        <w:t xml:space="preserve">- </w:t>
      </w:r>
      <w:r>
        <w:rPr>
          <w:b/>
        </w:rPr>
        <w:t>온도:</w:t>
      </w:r>
      <w:r>
        <w:t xml:space="preserve"> 중립~부정. 10월 들어 확인된 4건이 모두 목표가 하향이다. 가장 낙관적인 시각은 $70 부근(출처 개별 확인 불가), 가장 보수적인 시각은 Argus $34.</w:t>
      </w:r>
    </w:p>
    <w:p>
      <w:pPr>
        <w:spacing w:after="120"/>
      </w:pPr>
      <w:r>
        <w:t xml:space="preserve">- </w:t>
      </w:r>
      <w:r>
        <w:rPr>
          <w:b/>
        </w:rPr>
        <w:t>한계:</w:t>
      </w:r>
      <w:r>
        <w:t xml:space="preserve"> 개별 증권사 리포트 원문은 수집하지 않았고 집계 사이트의 요약만 사용했다. 위 표의 일자·목표가는 StockAnalysis 기재 값이다.</w:t>
      </w:r>
    </w:p>
    <w:p/>
    <w:p>
      <w:pPr>
        <w:pStyle w:val="Heading3"/>
      </w:pPr>
      <w:r>
        <w:rPr>
          <w:b/>
          <w:color w:val="000000"/>
          <w:sz w:val="24"/>
        </w:rPr>
        <w:t>5.2 핵심 긍정 논거 (Bullish)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논거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근거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신뢰도</w:t>
            </w:r>
          </w:p>
        </w:tc>
      </w:tr>
      <w:tr>
        <w:tc>
          <w:tcPr>
            <w:tcW w:type="dxa" w:w="3135"/>
          </w:tcPr>
          <w:p>
            <w:r>
              <w:t>BTO 전환 → 마진 반등(분기 15.2% → 16.5%)</w:t>
            </w:r>
          </w:p>
        </w:tc>
        <w:tc>
          <w:tcPr>
            <w:tcW w:type="dxa" w:w="3135"/>
          </w:tcPr>
          <w:p>
            <w:r>
              <w:t>회사 발표 + HousingWire + 실적 콜</w:t>
            </w:r>
          </w:p>
        </w:tc>
        <w:tc>
          <w:tcPr>
            <w:tcW w:type="dxa" w:w="3135"/>
          </w:tcPr>
          <w:p>
            <w:r>
              <w:t>**높음**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수주잔고 4년 만에 YoY 증가</w:t>
            </w:r>
          </w:p>
        </w:tc>
        <w:tc>
          <w:tcPr>
            <w:tcW w:type="dxa" w:w="3135"/>
            <w:shd w:val="clear" w:color="auto" w:fill="F2F2F2"/>
          </w:tcPr>
          <w:p>
            <w:r>
              <w:t>회사 발표 + 실적 콜</w:t>
            </w:r>
          </w:p>
        </w:tc>
        <w:tc>
          <w:tcPr>
            <w:tcW w:type="dxa" w:w="3135"/>
            <w:shd w:val="clear" w:color="auto" w:fill="F2F2F2"/>
          </w:tcPr>
          <w:p>
            <w:r>
              <w:t>**높음**</w:t>
            </w:r>
          </w:p>
        </w:tc>
      </w:tr>
      <w:tr>
        <w:tc>
          <w:tcPr>
            <w:tcW w:type="dxa" w:w="3135"/>
          </w:tcPr>
          <w:p>
            <w:r>
              <w:rPr>
                <w:color w:val="C00000"/>
              </w:rPr>
              <w:t>자사주 매입·배당(주식 수 -11.8%)</w:t>
            </w:r>
          </w:p>
        </w:tc>
        <w:tc>
          <w:tcPr>
            <w:tcW w:type="dxa" w:w="3135"/>
          </w:tcPr>
          <w:p>
            <w:r>
              <w:t>회사 발표 + StockAnalysis</w:t>
            </w:r>
          </w:p>
        </w:tc>
        <w:tc>
          <w:tcPr>
            <w:tcW w:type="dxa" w:w="3135"/>
          </w:tcPr>
          <w:p>
            <w:r>
              <w:t>**높음**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P/B 0.75x, 장기금리 하락 시 반등 민감도</w:t>
            </w:r>
          </w:p>
        </w:tc>
        <w:tc>
          <w:tcPr>
            <w:tcW w:type="dxa" w:w="3135"/>
            <w:shd w:val="clear" w:color="auto" w:fill="F2F2F2"/>
          </w:tcPr>
          <w:p>
            <w:r>
              <w:t>StockAnalysis, 10/22 주가 반응</w:t>
            </w:r>
          </w:p>
        </w:tc>
        <w:tc>
          <w:tcPr>
            <w:tcW w:type="dxa" w:w="3135"/>
            <w:shd w:val="clear" w:color="auto" w:fill="F2F2F2"/>
          </w:tcPr>
          <w:p>
            <w:r>
              <w:t>중간(금리 의존)</w:t>
            </w:r>
          </w:p>
        </w:tc>
      </w:tr>
      <w:tr>
        <w:tc>
          <w:tcPr>
            <w:tcW w:type="dxa" w:w="3135"/>
          </w:tcPr>
          <w:p>
            <w:r>
              <w:t>West Coast 고마진 믹스(2027까지)</w:t>
            </w:r>
          </w:p>
        </w:tc>
        <w:tc>
          <w:tcPr>
            <w:tcW w:type="dxa" w:w="3135"/>
          </w:tcPr>
          <w:p>
            <w:r>
              <w:t>실적 콜 단독</w:t>
            </w:r>
          </w:p>
        </w:tc>
        <w:tc>
          <w:tcPr>
            <w:tcW w:type="dxa" w:w="3135"/>
          </w:tcPr>
          <w:p>
            <w:r>
              <w:t>추정 단계</w:t>
            </w:r>
          </w:p>
        </w:tc>
      </w:tr>
    </w:tbl>
    <w:p/>
    <w:p>
      <w:pPr>
        <w:pStyle w:val="Heading3"/>
      </w:pPr>
      <w:r>
        <w:rPr>
          <w:b/>
          <w:color w:val="000000"/>
          <w:sz w:val="24"/>
        </w:rPr>
        <w:t>5.3 핵심 부정 논거 (Bearish)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</w:rPr>
              <w:t>논거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</w:rPr>
              <w:t>근거</w:t>
            </w:r>
          </w:p>
        </w:tc>
      </w:tr>
      <w:tr>
        <w:tc>
          <w:tcPr>
            <w:tcW w:type="dxa" w:w="4703"/>
          </w:tcPr>
          <w:p>
            <w:r>
              <w:t>FY 마진·ASP 가이던스 하향(FY 마진 16.0~16.2%, 기존 16.1~16.5%)</w:t>
            </w:r>
          </w:p>
        </w:tc>
        <w:tc>
          <w:tcPr>
            <w:tcW w:type="dxa" w:w="4703"/>
          </w:tcPr>
          <w:p>
            <w:r>
              <w:t>HousingWire + 회사 발표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color w:val="007000"/>
              </w:rPr>
              <w:t>모기지 7.3%대·연준 인상 — 수요 회복 지연</w:t>
            </w:r>
          </w:p>
        </w:tc>
        <w:tc>
          <w:tcPr>
            <w:tcW w:type="dxa" w:w="4703"/>
            <w:shd w:val="clear" w:color="auto" w:fill="F2F2F2"/>
          </w:tcPr>
          <w:p>
            <w:r>
              <w:t>Freddie Mac, J.P. Morgan</w:t>
            </w:r>
          </w:p>
        </w:tc>
      </w:tr>
      <w:tr>
        <w:tc>
          <w:tcPr>
            <w:tcW w:type="dxa" w:w="4703"/>
          </w:tcPr>
          <w:p>
            <w:r>
              <w:t>주문 감소(3Q -12%), 소비자 신중("소비자가 소화하는 데 시간이 걸린다" — 경영진)</w:t>
            </w:r>
          </w:p>
        </w:tc>
        <w:tc>
          <w:tcPr>
            <w:tcW w:type="dxa" w:w="4703"/>
          </w:tcPr>
          <w:p>
            <w:r>
              <w:t>회사 발표 + 콜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color w:val="007000"/>
              </w:rPr>
              <w:t>낮은 ROE(5.9%)·FCF, 환원이 차입에 의존</w:t>
            </w:r>
          </w:p>
        </w:tc>
        <w:tc>
          <w:tcPr>
            <w:tcW w:type="dxa" w:w="4703"/>
            <w:shd w:val="clear" w:color="auto" w:fill="F2F2F2"/>
          </w:tcPr>
          <w:p>
            <w:r>
              <w:t>StockAnalysis 계산</w:t>
            </w:r>
          </w:p>
        </w:tc>
      </w:tr>
      <w:tr>
        <w:tc>
          <w:tcPr>
            <w:tcW w:type="dxa" w:w="4703"/>
          </w:tcPr>
          <w:p>
            <w:r>
              <w:rPr>
                <w:color w:val="007000"/>
              </w:rPr>
              <w:t>목표가 연속 하향, 공매도 비중 15.6%</w:t>
            </w:r>
          </w:p>
        </w:tc>
        <w:tc>
          <w:tcPr>
            <w:tcW w:type="dxa" w:w="4703"/>
          </w:tcPr>
          <w:p>
            <w:r>
              <w:t>StockAnalysis</w:t>
            </w:r>
          </w:p>
        </w:tc>
      </w:tr>
    </w:tbl>
    <w:p/>
    <w:p>
      <w:pPr>
        <w:spacing w:after="120"/>
      </w:pPr>
      <w:r>
        <w:t xml:space="preserve">&gt; </w:t>
      </w:r>
      <w:r>
        <w:rPr>
          <w:b/>
        </w:rPr>
        <w:t>진행 중 리스크 (강조):</w:t>
      </w:r>
      <w:r/>
    </w:p>
    <w:p>
      <w:pPr>
        <w:spacing w:after="120"/>
      </w:pPr>
      <w:r>
        <w:t>&gt; 1. 금리 재상승 가능성: 연준 인상 사이클의 연속 여부 불확실(J.P. Morgan 9/25: "시작일 수 있다"는 문제 제기)</w:t>
      </w:r>
    </w:p>
    <w:p>
      <w:pPr>
        <w:spacing w:after="120"/>
      </w:pPr>
      <w:r>
        <w:t>&gt; 2. 재판매 시장과의 가격 경쟁 및 인센티브 증가 가능성</w:t>
      </w:r>
    </w:p>
    <w:p>
      <w:pPr>
        <w:spacing w:after="120"/>
      </w:pPr>
      <w:r>
        <w:t>&gt; 3. 부채/자본 상승과 FCF 부진</w:t>
      </w:r>
    </w:p>
    <w:p>
      <w:pPr>
        <w:spacing w:after="120"/>
      </w:pPr>
      <w:r>
        <w:t>&gt; 4. 4Q 가이던스(인도 3,000~3,500채 필요) 달성 압박</w:t>
      </w:r>
    </w:p>
    <w:p>
      <w:pPr>
        <w:spacing w:after="120"/>
      </w:pPr>
      <w:r>
        <w:t>&gt; 5. 토지 투자 증가에 따른 수익성 부담(3Q 토지 지출 증가 — 경영진은 "정상적 파이프라인 진행"으로 설명)</w:t>
      </w:r>
    </w:p>
    <w:p/>
    <w:p>
      <w:pPr>
        <w:pStyle w:val="Heading3"/>
      </w:pPr>
      <w:r>
        <w:rPr>
          <w:b/>
          <w:color w:val="000000"/>
          <w:sz w:val="24"/>
        </w:rPr>
        <w:t>5.4 향후 일정·촉매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시기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이벤트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3135"/>
          </w:tcPr>
          <w:p>
            <w:r>
              <w:t>매주 목요일</w:t>
            </w:r>
          </w:p>
        </w:tc>
        <w:tc>
          <w:tcPr>
            <w:tcW w:type="dxa" w:w="3135"/>
          </w:tcPr>
          <w:p>
            <w:r>
              <w:t>Freddie Mac 모기지 금리</w:t>
            </w:r>
          </w:p>
        </w:tc>
        <w:tc>
          <w:tcPr>
            <w:tcW w:type="dxa" w:w="3135"/>
          </w:tcPr>
          <w:p>
            <w:r>
              <w:rPr>
                <w:color w:val="007000"/>
              </w:rPr>
              <w:t>7.3%대에서 7% 하회 여부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2026-11-12</w:t>
            </w:r>
          </w:p>
        </w:tc>
        <w:tc>
          <w:tcPr>
            <w:tcW w:type="dxa" w:w="3135"/>
            <w:shd w:val="clear" w:color="auto" w:fill="F2F2F2"/>
          </w:tcPr>
          <w:p>
            <w:r>
              <w:t>배당락일($0.25/분기 추정)</w:t>
            </w:r>
          </w:p>
        </w:tc>
        <w:tc>
          <w:tcPr>
            <w:tcW w:type="dxa" w:w="3135"/>
            <w:shd w:val="clear" w:color="auto" w:fill="F2F2F2"/>
          </w:tcPr>
          <w:p>
            <w:r>
              <w:t>StockAnalysis 기재</w:t>
            </w:r>
          </w:p>
        </w:tc>
      </w:tr>
      <w:tr>
        <w:tc>
          <w:tcPr>
            <w:tcW w:type="dxa" w:w="3135"/>
          </w:tcPr>
          <w:p>
            <w:r>
              <w:t>12월</w:t>
            </w:r>
          </w:p>
        </w:tc>
        <w:tc>
          <w:tcPr>
            <w:tcW w:type="dxa" w:w="3135"/>
          </w:tcPr>
          <w:p>
            <w:r>
              <w:t>연준 FOMC</w:t>
            </w:r>
          </w:p>
        </w:tc>
        <w:tc>
          <w:tcPr>
            <w:tcW w:type="dxa" w:w="3135"/>
          </w:tcPr>
          <w:p>
            <w:r>
              <w:t>인상 지속 여부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12월 중순(추정)</w:t>
            </w:r>
          </w:p>
        </w:tc>
        <w:tc>
          <w:tcPr>
            <w:tcW w:type="dxa" w:w="3135"/>
            <w:shd w:val="clear" w:color="auto" w:fill="F2F2F2"/>
          </w:tcPr>
          <w:p>
            <w:r>
              <w:t>4Q·FY2026 실적 및 FY2027 가이던스</w:t>
            </w:r>
          </w:p>
        </w:tc>
        <w:tc>
          <w:tcPr>
            <w:tcW w:type="dxa" w:w="3135"/>
            <w:shd w:val="clear" w:color="auto" w:fill="F2F2F2"/>
          </w:tcPr>
          <w:p>
            <w:r>
              <w:t>전년 공시일 2025-12-18 기준 추정</w:t>
            </w:r>
          </w:p>
        </w:tc>
      </w:tr>
      <w:tr>
        <w:tc>
          <w:tcPr>
            <w:tcW w:type="dxa" w:w="3135"/>
          </w:tcPr>
          <w:p>
            <w:r>
              <w:t>4Q</w:t>
            </w:r>
          </w:p>
        </w:tc>
        <w:tc>
          <w:tcPr>
            <w:tcW w:type="dxa" w:w="3135"/>
          </w:tcPr>
          <w:p>
            <w:r>
              <w:t>자사주 매입 최대 $50M</w:t>
            </w:r>
          </w:p>
        </w:tc>
        <w:tc>
          <w:tcPr>
            <w:tcW w:type="dxa" w:w="3135"/>
          </w:tcPr>
          <w:p>
            <w:r>
              <w:t>3Q 콜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2027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color w:val="007000"/>
              </w:rPr>
              <w:t>마진 22% 장기 목표 재언급 여부</w:t>
            </w:r>
          </w:p>
        </w:tc>
        <w:tc>
          <w:tcPr>
            <w:tcW w:type="dxa" w:w="3135"/>
            <w:shd w:val="clear" w:color="auto" w:fill="F2F2F2"/>
          </w:tcPr>
          <w:p>
            <w:r>
              <w:t>"현재 시장에서는 불가"</w:t>
            </w:r>
          </w:p>
        </w:tc>
      </w:tr>
    </w:tbl>
    <w:p/>
    <w:p>
      <w:pPr>
        <w:pStyle w:val="Heading3"/>
      </w:pPr>
      <w:r>
        <w:rPr>
          <w:b/>
          <w:color w:val="000000"/>
          <w:sz w:val="24"/>
        </w:rPr>
        <w:t>5.5 주요 공시 이벤트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일자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공시/발표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영향</w:t>
            </w:r>
          </w:p>
        </w:tc>
      </w:tr>
      <w:tr>
        <w:tc>
          <w:tcPr>
            <w:tcW w:type="dxa" w:w="3135"/>
          </w:tcPr>
          <w:p>
            <w:r>
              <w:t>2026-09-22</w:t>
            </w:r>
          </w:p>
        </w:tc>
        <w:tc>
          <w:tcPr>
            <w:tcW w:type="dxa" w:w="3135"/>
          </w:tcPr>
          <w:p>
            <w:r>
              <w:t>3Q26 실적, FY 가이던스(인도 10,500~11,000채, 주택 매출 $4.9~5.1B, 마진 16.0~16.2%) 조정</w:t>
            </w:r>
          </w:p>
        </w:tc>
        <w:tc>
          <w:tcPr>
            <w:tcW w:type="dxa" w:w="3135"/>
          </w:tcPr>
          <w:p>
            <w:r>
              <w:t>혼재: EPS 상회, 가이던스 하향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2026-06</w:t>
            </w:r>
          </w:p>
        </w:tc>
        <w:tc>
          <w:tcPr>
            <w:tcW w:type="dxa" w:w="3135"/>
            <w:shd w:val="clear" w:color="auto" w:fill="F2F2F2"/>
          </w:tcPr>
          <w:p>
            <w:r>
              <w:t>2Q26 실적, FY 매출 $4.9~5.3B → 3Q에서 $4.9~5.1B로 상단 축소</w:t>
            </w:r>
          </w:p>
        </w:tc>
        <w:tc>
          <w:tcPr>
            <w:tcW w:type="dxa" w:w="3135"/>
            <w:shd w:val="clear" w:color="auto" w:fill="F2F2F2"/>
          </w:tcPr>
          <w:p>
            <w:r>
              <w:t>부정</w:t>
            </w:r>
          </w:p>
        </w:tc>
      </w:tr>
      <w:tr>
        <w:tc>
          <w:tcPr>
            <w:tcW w:type="dxa" w:w="3135"/>
          </w:tcPr>
          <w:p>
            <w:r>
              <w:t>2025-12</w:t>
            </w:r>
          </w:p>
        </w:tc>
        <w:tc>
          <w:tcPr>
            <w:tcW w:type="dxa" w:w="3135"/>
          </w:tcPr>
          <w:p>
            <w:r>
              <w:t>FY2025 실적, $1.2B 5년 신용한도 증액, 만기 연장</w:t>
            </w:r>
          </w:p>
        </w:tc>
        <w:tc>
          <w:tcPr>
            <w:tcW w:type="dxa" w:w="3135"/>
          </w:tcPr>
          <w:p>
            <w:r>
              <w:t>중립</w:t>
            </w:r>
          </w:p>
        </w:tc>
      </w:tr>
    </w:tbl>
    <w:p/>
    <w:p>
      <w:pPr>
        <w:pBdr>
          <w:bottom w:val="single" w:sz="6" w:space="1" w:color="2F5496"/>
        </w:pBdr>
      </w:pPr>
    </w:p>
    <w:p/>
    <w:p>
      <w:pPr>
        <w:pStyle w:val="Heading2"/>
      </w:pPr>
      <w:r>
        <w:rPr>
          <w:b/>
          <w:color w:val="2F5496"/>
          <w:sz w:val="28"/>
        </w:rPr>
        <w:t>6. 밸류에이션 종합</w:t>
      </w:r>
    </w:p>
    <w:p/>
    <w:p>
      <w:pPr>
        <w:pStyle w:val="Heading3"/>
      </w:pPr>
      <w:r>
        <w:rPr>
          <w:b/>
          <w:color w:val="000000"/>
          <w:sz w:val="24"/>
        </w:rPr>
        <w:t>6.1 적용 방법과 핵심 가정</w:t>
      </w:r>
    </w:p>
    <w:p/>
    <w:p>
      <w:pPr>
        <w:spacing w:after="120"/>
      </w:pPr>
      <w:r>
        <w:t>한국 파이프라인의 Valuation 에이전트는 사용하지 않았고, 홈빌더에 맞게 3가지 방법을 직접 적용했다. DCF는 FCF가 사실상 0(TTM $28.7M)이고 재고·토지 투자 시점에 따라 심하게 흔들리므로 신뢰하기 어려워 제외했다. DDM은 배당성향 28%로 적합하지 않아 제외했다.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방법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가정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가중치</w:t>
            </w:r>
          </w:p>
        </w:tc>
      </w:tr>
      <w:tr>
        <w:tc>
          <w:tcPr>
            <w:tcW w:type="dxa" w:w="3135"/>
          </w:tcPr>
          <w:p>
            <w:r>
              <w:t>① 선행 P/E</w:t>
            </w:r>
          </w:p>
        </w:tc>
        <w:tc>
          <w:tcPr>
            <w:tcW w:type="dxa" w:w="3135"/>
          </w:tcPr>
          <w:p>
            <w:r>
              <w:t>FY2027E EPS $3.59 × 11x / 13.8x / 16x (13.8x는 동종 선행 P/E 중앙값, 11x·16x는 하방·상방 범위)</w:t>
            </w:r>
          </w:p>
        </w:tc>
        <w:tc>
          <w:tcPr>
            <w:tcW w:type="dxa" w:w="3135"/>
          </w:tcPr>
          <w:p>
            <w:r>
              <w:rPr>
                <w:color w:val="007000"/>
              </w:rPr>
              <w:t>40%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② P/B</w:t>
            </w:r>
          </w:p>
        </w:tc>
        <w:tc>
          <w:tcPr>
            <w:tcW w:type="dxa" w:w="3135"/>
            <w:shd w:val="clear" w:color="auto" w:fill="F2F2F2"/>
          </w:tcPr>
          <w:p>
            <w:r>
              <w:t>BPS $62.56 × 0.65x / 0.80x / 0.95x (하단: 금리 압박 지속, 상단: Lennar 0.94x 수준. ROE 5.9%로 순자산 가치 이하 거래는 정당화 가능)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color w:val="007000"/>
              </w:rPr>
              <w:t>40%</w:t>
            </w:r>
          </w:p>
        </w:tc>
      </w:tr>
      <w:tr>
        <w:tc>
          <w:tcPr>
            <w:tcW w:type="dxa" w:w="3135"/>
          </w:tcPr>
          <w:p>
            <w:r>
              <w:t>③ 정상화 이익</w:t>
            </w:r>
          </w:p>
        </w:tc>
        <w:tc>
          <w:tcPr>
            <w:tcW w:type="dxa" w:w="3135"/>
          </w:tcPr>
          <w:p>
            <w:r>
              <w:t>중기 정상화 EPS $4.0 / $4.8 / $5.6 × 10x (FY2026E $3.23과 FY2023~25 평균 사이를 가정, 신뢰도 낮음)</w:t>
            </w:r>
          </w:p>
        </w:tc>
        <w:tc>
          <w:tcPr>
            <w:tcW w:type="dxa" w:w="3135"/>
          </w:tcPr>
          <w:p>
            <w:r>
              <w:rPr>
                <w:color w:val="007000"/>
              </w:rPr>
              <w:t>20%</w:t>
            </w:r>
          </w:p>
        </w:tc>
      </w:tr>
    </w:tbl>
    <w:p/>
    <w:p>
      <w:pPr>
        <w:spacing w:after="120"/>
      </w:pPr>
      <w:r>
        <w:t>(BPS = 자기자본 $3.80B ÷ 주식수 60.76M. 모든 가정은 본 분석의 판단이며 소스 데이터에서 직접 제공된 값이 아니다.)</w:t>
      </w:r>
    </w:p>
    <w:p/>
    <w:p>
      <w:pPr>
        <w:pStyle w:val="Heading3"/>
      </w:pPr>
      <w:r>
        <w:rPr>
          <w:b/>
          <w:color w:val="000000"/>
          <w:sz w:val="24"/>
        </w:rPr>
        <w:t>6.2 방법별 결과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방법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하단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중간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상단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</w:rPr>
              <w:t>upside(중간)</w:t>
            </w:r>
          </w:p>
        </w:tc>
      </w:tr>
      <w:tr>
        <w:tc>
          <w:tcPr>
            <w:tcW w:type="dxa" w:w="1881"/>
          </w:tcPr>
          <w:p>
            <w:r>
              <w:t>선행 P/E (FY27E)</w:t>
            </w:r>
          </w:p>
        </w:tc>
        <w:tc>
          <w:tcPr>
            <w:tcW w:type="dxa" w:w="1881"/>
          </w:tcPr>
          <w:p>
            <w:r>
              <w:t>$39.49</w:t>
            </w:r>
          </w:p>
        </w:tc>
        <w:tc>
          <w:tcPr>
            <w:tcW w:type="dxa" w:w="1881"/>
          </w:tcPr>
          <w:p>
            <w:r>
              <w:t>$49.54</w:t>
            </w:r>
          </w:p>
        </w:tc>
        <w:tc>
          <w:tcPr>
            <w:tcW w:type="dxa" w:w="1881"/>
          </w:tcPr>
          <w:p>
            <w:r>
              <w:t>$57.44</w:t>
            </w:r>
          </w:p>
        </w:tc>
        <w:tc>
          <w:tcPr>
            <w:tcW w:type="dxa" w:w="1881"/>
          </w:tcPr>
          <w:p>
            <w:r>
              <w:rPr>
                <w:color w:val="007000"/>
              </w:rPr>
              <w:t>+5.3%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t>P/B</w:t>
            </w:r>
          </w:p>
        </w:tc>
        <w:tc>
          <w:tcPr>
            <w:tcW w:type="dxa" w:w="1881"/>
            <w:shd w:val="clear" w:color="auto" w:fill="F2F2F2"/>
          </w:tcPr>
          <w:p>
            <w:r>
              <w:t>$40.66</w:t>
            </w:r>
          </w:p>
        </w:tc>
        <w:tc>
          <w:tcPr>
            <w:tcW w:type="dxa" w:w="1881"/>
            <w:shd w:val="clear" w:color="auto" w:fill="F2F2F2"/>
          </w:tcPr>
          <w:p>
            <w:r>
              <w:t>$50.05</w:t>
            </w:r>
          </w:p>
        </w:tc>
        <w:tc>
          <w:tcPr>
            <w:tcW w:type="dxa" w:w="1881"/>
            <w:shd w:val="clear" w:color="auto" w:fill="F2F2F2"/>
          </w:tcPr>
          <w:p>
            <w:r>
              <w:t>$59.43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color w:val="007000"/>
              </w:rPr>
              <w:t>+6.4%</w:t>
            </w:r>
          </w:p>
        </w:tc>
      </w:tr>
      <w:tr>
        <w:tc>
          <w:tcPr>
            <w:tcW w:type="dxa" w:w="1881"/>
          </w:tcPr>
          <w:p>
            <w:r>
              <w:t>정상화 이익 P/E</w:t>
            </w:r>
          </w:p>
        </w:tc>
        <w:tc>
          <w:tcPr>
            <w:tcW w:type="dxa" w:w="1881"/>
          </w:tcPr>
          <w:p>
            <w:r>
              <w:t>$40.00</w:t>
            </w:r>
          </w:p>
        </w:tc>
        <w:tc>
          <w:tcPr>
            <w:tcW w:type="dxa" w:w="1881"/>
          </w:tcPr>
          <w:p>
            <w:r>
              <w:t>$48.00</w:t>
            </w:r>
          </w:p>
        </w:tc>
        <w:tc>
          <w:tcPr>
            <w:tcW w:type="dxa" w:w="1881"/>
          </w:tcPr>
          <w:p>
            <w:r>
              <w:t>$56.00</w:t>
            </w:r>
          </w:p>
        </w:tc>
        <w:tc>
          <w:tcPr>
            <w:tcW w:type="dxa" w:w="1881"/>
          </w:tcPr>
          <w:p>
            <w:r>
              <w:rPr>
                <w:color w:val="007000"/>
              </w:rPr>
              <w:t>+2.0%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t>**가중 평균**</w:t>
            </w:r>
          </w:p>
        </w:tc>
        <w:tc>
          <w:tcPr>
            <w:tcW w:type="dxa" w:w="1881"/>
            <w:shd w:val="clear" w:color="auto" w:fill="F2F2F2"/>
          </w:tcPr>
          <w:p>
            <w:r>
              <w:t>**$40.06**</w:t>
            </w:r>
          </w:p>
        </w:tc>
        <w:tc>
          <w:tcPr>
            <w:tcW w:type="dxa" w:w="1881"/>
            <w:shd w:val="clear" w:color="auto" w:fill="F2F2F2"/>
          </w:tcPr>
          <w:p>
            <w:r>
              <w:t>**$49.44**</w:t>
            </w:r>
          </w:p>
        </w:tc>
        <w:tc>
          <w:tcPr>
            <w:tcW w:type="dxa" w:w="1881"/>
            <w:shd w:val="clear" w:color="auto" w:fill="F2F2F2"/>
          </w:tcPr>
          <w:p>
            <w:r>
              <w:t>**$57.95**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color w:val="007000"/>
              </w:rPr>
              <w:t>**+5.1%**</w:t>
            </w:r>
          </w:p>
        </w:tc>
      </w:tr>
    </w:tbl>
    <w:p/>
    <w:p>
      <w:pPr>
        <w:spacing w:after="120"/>
      </w:pPr>
      <w:r>
        <w:t>- 검증: 0.4×49.54 + 0.4×50.05 + 0.2×48.00 = 49.44 (본 분석 계산).</w:t>
      </w:r>
    </w:p>
    <w:p>
      <w:pPr>
        <w:spacing w:after="120"/>
      </w:pPr>
      <w:r>
        <w:t>- 후행 EPS $3.58 기준 P/E는 13.1x, FY26E 기준 14.6x, FY27E 기준 13.1x, 이익수익률 7.6% (← StockAnalysis 기반 계산).</w:t>
      </w:r>
    </w:p>
    <w:p/>
    <w:p>
      <w:pPr>
        <w:pStyle w:val="Heading3"/>
      </w:pPr>
      <w:r>
        <w:rPr>
          <w:b/>
          <w:color w:val="000000"/>
          <w:sz w:val="24"/>
        </w:rPr>
        <w:t>6.3 시장 지표·컨센서스와의 비교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값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가격 환산</w:t>
            </w:r>
          </w:p>
        </w:tc>
      </w:tr>
      <w:tr>
        <w:tc>
          <w:tcPr>
            <w:tcW w:type="dxa" w:w="3135"/>
          </w:tcPr>
          <w:p>
            <w:r>
              <w:t>본 분석 중간값</w:t>
            </w:r>
          </w:p>
        </w:tc>
        <w:tc>
          <w:tcPr>
            <w:tcW w:type="dxa" w:w="3135"/>
          </w:tcPr>
          <w:p>
            <w:r>
              <w:t>$49.44</w:t>
            </w:r>
          </w:p>
        </w:tc>
        <w:tc>
          <w:tcPr>
            <w:tcW w:type="dxa" w:w="3135"/>
          </w:tcPr>
          <w:p>
            <w:r>
              <w:rPr>
                <w:color w:val="007000"/>
              </w:rPr>
              <w:t>+5.1%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애널리스트 평균 TP (S&amp;P/StockAnalysis)</w:t>
            </w:r>
          </w:p>
        </w:tc>
        <w:tc>
          <w:tcPr>
            <w:tcW w:type="dxa" w:w="3135"/>
            <w:shd w:val="clear" w:color="auto" w:fill="F2F2F2"/>
          </w:tcPr>
          <w:p>
            <w:r>
              <w:t>$51.14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color w:val="007000"/>
              </w:rPr>
              <w:t>+8.7%</w:t>
            </w:r>
          </w:p>
        </w:tc>
      </w:tr>
      <w:tr>
        <w:tc>
          <w:tcPr>
            <w:tcW w:type="dxa" w:w="3135"/>
          </w:tcPr>
          <w:p>
            <w:r>
              <w:t>애널리스트 중앙값</w:t>
            </w:r>
          </w:p>
        </w:tc>
        <w:tc>
          <w:tcPr>
            <w:tcW w:type="dxa" w:w="3135"/>
          </w:tcPr>
          <w:p>
            <w:r>
              <w:t>$49.50</w:t>
            </w:r>
          </w:p>
        </w:tc>
        <w:tc>
          <w:tcPr>
            <w:tcW w:type="dxa" w:w="3135"/>
          </w:tcPr>
          <w:p>
            <w:r>
              <w:rPr>
                <w:color w:val="007000"/>
              </w:rPr>
              <w:t>+5.2%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이익 기준 동종 P/E(13.8x) × FY27E</w:t>
            </w:r>
          </w:p>
        </w:tc>
        <w:tc>
          <w:tcPr>
            <w:tcW w:type="dxa" w:w="3135"/>
            <w:shd w:val="clear" w:color="auto" w:fill="F2F2F2"/>
          </w:tcPr>
          <w:p>
            <w:r>
              <w:t>$49.54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color w:val="007000"/>
              </w:rPr>
              <w:t>+5.3%</w:t>
            </w:r>
          </w:p>
        </w:tc>
      </w:tr>
      <w:tr>
        <w:tc>
          <w:tcPr>
            <w:tcW w:type="dxa" w:w="3135"/>
          </w:tcPr>
          <w:p>
            <w:r>
              <w:t>P/B 1.0x</w:t>
            </w:r>
          </w:p>
        </w:tc>
        <w:tc>
          <w:tcPr>
            <w:tcW w:type="dxa" w:w="3135"/>
          </w:tcPr>
          <w:p>
            <w:r>
              <w:t>$62.56</w:t>
            </w:r>
          </w:p>
        </w:tc>
        <w:tc>
          <w:tcPr>
            <w:tcW w:type="dxa" w:w="3135"/>
          </w:tcPr>
          <w:p>
            <w:r>
              <w:rPr>
                <w:color w:val="007000"/>
              </w:rPr>
              <w:t>+33.0%</w:t>
            </w:r>
          </w:p>
        </w:tc>
      </w:tr>
    </w:tbl>
    <w:p/>
    <w:p>
      <w:pPr>
        <w:spacing w:after="120"/>
      </w:pPr>
      <w:r>
        <w:t>- 본 분석 중간값은 컨센서스 평균 대비 -3.3%로 근접한다. 이는 각 방법이 모두 "동종 중앙값 멀티플 × 컨센서스 이익"에 의존하는 구조라 독립적 교차검증이 되지 않는다는 한계도 있다(주의).</w:t>
      </w:r>
    </w:p>
    <w:p>
      <w:pPr>
        <w:spacing w:after="120"/>
      </w:pPr>
      <w:r>
        <w:t>- 감도: FY27E EPS ±$0.50 → 중간값 ±약 $6.9(13.8x 기준). P/E 1x 변화 → ±$3.59(7.6%). P/B 0.1x 변화 → ±$6.26(13.3%). 이익과 멀티플이 같은 방향으로 움직이는 금리 변동 때문에 실제 범위는 이보다 넓어질 수 있다.</w:t>
      </w:r>
    </w:p>
    <w:p>
      <w:pPr>
        <w:spacing w:after="120"/>
      </w:pPr>
      <w:r>
        <w:t>- 시장 관점의 불일치: P/B는 저평가 신호(0.75x), P/E는 중립(13.7x). 두 시각을 병기하며 한쪽으로 조정하지 않는다.</w:t>
      </w:r>
    </w:p>
    <w:p/>
    <w:p>
      <w:pPr>
        <w:pStyle w:val="Heading3"/>
      </w:pPr>
      <w:r>
        <w:rPr>
          <w:b/>
          <w:color w:val="000000"/>
          <w:sz w:val="24"/>
        </w:rPr>
        <w:t>6.4 현재 주가 위치 해석</w:t>
      </w:r>
    </w:p>
    <w:p/>
    <w:p>
      <w:pPr>
        <w:spacing w:after="120"/>
      </w:pPr>
      <w:r>
        <w:t xml:space="preserve">- 현재가 $47.05는 적정 범위 $40.06~$57.95 내(하단 대비 +17.4%, 상단 대비 -18.8%)로 </w:t>
      </w:r>
      <w:r>
        <w:rPr>
          <w:b/>
        </w:rPr>
        <w:t>"적정 범위"</w:t>
      </w:r>
      <w:r>
        <w:t xml:space="preserve"> 구간이며, 중간값 대비로는 약 4.8% 낮다(upside +5.1%).</w:t>
      </w:r>
    </w:p>
    <w:p>
      <w:pPr>
        <w:spacing w:after="120"/>
      </w:pPr>
      <w:r>
        <w:t>- 상단까지 +23.2%, 하단까지 -14.9%로 위험·보상은 비대칭적이지 않다. 큰 폭의 재평가는 금리 방향성에 의존한다.</w:t>
      </w:r>
    </w:p>
    <w:p>
      <w:pPr>
        <w:spacing w:after="120"/>
      </w:pPr>
      <w:r>
        <w:t>- 특례(현재가 &gt; 적정 범위 상단)에는 해당하지 않는다.</w:t>
      </w:r>
    </w:p>
    <w:p/>
    <w:p>
      <w:pPr>
        <w:pBdr>
          <w:bottom w:val="single" w:sz="6" w:space="1" w:color="2F5496"/>
        </w:pBdr>
      </w:pPr>
    </w:p>
    <w:p/>
    <w:p>
      <w:pPr>
        <w:pStyle w:val="Heading2"/>
      </w:pPr>
      <w:r>
        <w:rPr>
          <w:b/>
          <w:color w:val="2F5496"/>
          <w:sz w:val="28"/>
        </w:rPr>
        <w:t>7. 투자 시나리오 및 주가 전망</w:t>
      </w:r>
    </w:p>
    <w:p/>
    <w:p>
      <w:pPr>
        <w:pStyle w:val="Heading3"/>
      </w:pPr>
      <w:r>
        <w:rPr>
          <w:b/>
          <w:color w:val="000000"/>
          <w:sz w:val="24"/>
        </w:rPr>
        <w:t>7.0 확률 산정</w:t>
      </w:r>
    </w:p>
    <w:p/>
    <w:p>
      <w:pPr>
        <w:spacing w:after="120"/>
      </w:pPr>
      <w:r>
        <w:t xml:space="preserve">산업 분석 에이전트가 없어 </w:t>
      </w:r>
      <w:r>
        <w:rPr>
          <w:b/>
        </w:rPr>
        <w:t>기본값 Positive 30% / Base 50% / Negative 20%</w:t>
      </w:r>
      <w:r>
        <w:t>를 기준값으로 사용했다(가이드의 누락 시 기본값). 아래 신호로 보정했고 총 보정은 ±15%p 한도 이내다.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</w:rPr>
              <w:t>신호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</w:rPr>
              <w:t>판정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</w:rPr>
              <w:t>Positive 보정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</w:rPr>
              <w:t>근거</w:t>
            </w:r>
          </w:p>
        </w:tc>
      </w:tr>
      <w:tr>
        <w:tc>
          <w:tcPr>
            <w:tcW w:type="dxa" w:w="2351"/>
          </w:tcPr>
          <w:p>
            <w:r>
              <w:t>재무 FCF/Red Flag</w:t>
            </w:r>
          </w:p>
        </w:tc>
        <w:tc>
          <w:tcPr>
            <w:tcW w:type="dxa" w:w="2351"/>
          </w:tcPr>
          <w:p>
            <w:r>
              <w:t>FCF 거의 0, 차입 증가</w:t>
            </w:r>
          </w:p>
        </w:tc>
        <w:tc>
          <w:tcPr>
            <w:tcW w:type="dxa" w:w="2351"/>
          </w:tcPr>
          <w:p>
            <w:r>
              <w:t>0%p</w:t>
            </w:r>
          </w:p>
        </w:tc>
        <w:tc>
          <w:tcPr>
            <w:tcW w:type="dxa" w:w="2351"/>
          </w:tcPr>
          <w:p>
            <w:r>
              <w:t>회복 신호도, Red Flag 현실화도 아님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t>애널리스트 컨센서스</w:t>
            </w:r>
          </w:p>
        </w:tc>
        <w:tc>
          <w:tcPr>
            <w:tcW w:type="dxa" w:w="2351"/>
            <w:shd w:val="clear" w:color="auto" w:fill="F2F2F2"/>
          </w:tcPr>
          <w:p>
            <w:r>
              <w:t>10월 4건 연속 목표가 하향, Hold 우세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color w:val="C00000"/>
              </w:rPr>
              <w:t>-3%p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color w:val="C00000"/>
              </w:rPr>
              <w:t>컨센 하향 규칙(-2~3%p)</w:t>
            </w:r>
          </w:p>
        </w:tc>
      </w:tr>
      <w:tr>
        <w:tc>
          <w:tcPr>
            <w:tcW w:type="dxa" w:w="2351"/>
          </w:tcPr>
          <w:p>
            <w:r>
              <w:t>뉴스·매크로 진행 중 리스크</w:t>
            </w:r>
          </w:p>
        </w:tc>
        <w:tc>
          <w:tcPr>
            <w:tcW w:type="dxa" w:w="2351"/>
          </w:tcPr>
          <w:p>
            <w:r>
              <w:rPr>
                <w:color w:val="007000"/>
              </w:rPr>
              <w:t>금리 인상, 모기지 7.3%, 4Q 가이던스 압박 등 3건 이상</w:t>
            </w:r>
          </w:p>
        </w:tc>
        <w:tc>
          <w:tcPr>
            <w:tcW w:type="dxa" w:w="2351"/>
          </w:tcPr>
          <w:p>
            <w:r>
              <w:rPr>
                <w:color w:val="C00000"/>
              </w:rPr>
              <w:t>-3%p</w:t>
            </w:r>
          </w:p>
        </w:tc>
        <w:tc>
          <w:tcPr>
            <w:tcW w:type="dxa" w:w="2351"/>
          </w:tcPr>
          <w:p>
            <w:r>
              <w:t>진행 중 리스크 3건+ 규칙(-3~5%p) 하한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t>밸류에이션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color w:val="007000"/>
              </w:rPr>
              <w:t>upside +5.1%, 적정 범위 내</w:t>
            </w:r>
          </w:p>
        </w:tc>
        <w:tc>
          <w:tcPr>
            <w:tcW w:type="dxa" w:w="2351"/>
            <w:shd w:val="clear" w:color="auto" w:fill="F2F2F2"/>
          </w:tcPr>
          <w:p>
            <w:r>
              <w:t>0%p</w:t>
            </w:r>
          </w:p>
        </w:tc>
        <w:tc>
          <w:tcPr>
            <w:tcW w:type="dxa" w:w="2351"/>
            <w:shd w:val="clear" w:color="auto" w:fill="F2F2F2"/>
          </w:tcPr>
          <w:p>
            <w:r>
              <w:t>고평가·15%+ 저평가 모두 아님</w:t>
            </w:r>
          </w:p>
        </w:tc>
      </w:tr>
      <w:tr>
        <w:tc>
          <w:tcPr>
            <w:tcW w:type="dxa" w:w="2351"/>
          </w:tcPr>
          <w:p>
            <w:r>
              <w:t>추가 판단(본 에이전트)</w:t>
            </w:r>
          </w:p>
        </w:tc>
        <w:tc>
          <w:tcPr>
            <w:tcW w:type="dxa" w:w="2351"/>
          </w:tcPr>
          <w:p>
            <w:r>
              <w:t>수주잔고 4년 만에 증가, 자사주 매입 지속, 장기금리 하락 반응</w:t>
            </w:r>
          </w:p>
        </w:tc>
        <w:tc>
          <w:tcPr>
            <w:tcW w:type="dxa" w:w="2351"/>
          </w:tcPr>
          <w:p>
            <w:r>
              <w:rPr>
                <w:color w:val="007000"/>
              </w:rPr>
              <w:t>+2%p</w:t>
            </w:r>
          </w:p>
        </w:tc>
        <w:tc>
          <w:tcPr>
            <w:tcW w:type="dxa" w:w="2351"/>
          </w:tcPr>
          <w:p>
            <w:r>
              <w:t>가이드 표에 없는 보정이므로 별도 표시</w:t>
            </w:r>
          </w:p>
        </w:tc>
      </w:tr>
    </w:tbl>
    <w:p/>
    <w:p>
      <w:pPr>
        <w:spacing w:after="120"/>
      </w:pPr>
      <w:r>
        <w:t>Positive 순 보정은 -4%p. 배분: Negative +3%p, Base +1%p.</w:t>
      </w:r>
    </w:p>
    <w:p/>
    <w:p>
      <w:pPr>
        <w:spacing w:after="120"/>
      </w:pPr>
      <w:r>
        <w:t xml:space="preserve">- </w:t>
      </w:r>
      <w:r>
        <w:rPr>
          <w:b/>
        </w:rPr>
        <w:t>Positive 26%</w:t>
      </w:r>
      <w:r>
        <w:t xml:space="preserve"> (기준값 30%에서 컨센서스 하향 -3%p, 진행 중 리스크 -3%p, 수주잔고·자사주 매입 신호 +2%p)</w:t>
      </w:r>
    </w:p>
    <w:p>
      <w:pPr>
        <w:spacing w:after="120"/>
      </w:pPr>
      <w:r>
        <w:t xml:space="preserve">- </w:t>
      </w:r>
      <w:r>
        <w:rPr>
          <w:b/>
        </w:rPr>
        <w:t>Base 51%</w:t>
      </w:r>
      <w:r>
        <w:t xml:space="preserve"> (기준값 50%에서 +1%p, Positive 감소분 일부 이동)</w:t>
      </w:r>
    </w:p>
    <w:p>
      <w:pPr>
        <w:spacing w:after="120"/>
      </w:pPr>
      <w:r>
        <w:t xml:space="preserve">- </w:t>
      </w:r>
      <w:r>
        <w:rPr>
          <w:b/>
        </w:rPr>
        <w:t>Negative 23%</w:t>
      </w:r>
      <w:r>
        <w:t xml:space="preserve"> (기준값 20%에서 +3%p, Positive 감소분 이동)</w:t>
      </w:r>
    </w:p>
    <w:p>
      <w:pPr>
        <w:spacing w:after="120"/>
      </w:pPr>
      <w:r>
        <w:t>- 합계 100%.</w:t>
      </w:r>
    </w:p>
    <w:p/>
    <w:p>
      <w:pPr>
        <w:pStyle w:val="Heading3"/>
      </w:pPr>
      <w:r>
        <w:rPr>
          <w:b/>
          <w:color w:val="000000"/>
          <w:sz w:val="24"/>
        </w:rPr>
        <w:t>7.1 시나리오별 전제 조건 및 주가 전망</w:t>
      </w:r>
    </w:p>
    <w:p/>
    <w:p>
      <w:pPr>
        <w:spacing w:after="120"/>
      </w:pPr>
      <w:r>
        <w:t>주가 범위 규칙: Positive는 적정 범위 상단($57.95) ~ 애널리스트 최고 TP($70), Base는 적정 범위 전체, Negative는 적정 범위 하단($40.06) 이하. 비율은 현재가 $47.05 대비.</w:t>
      </w:r>
    </w:p>
    <w:p/>
    <w:p>
      <w:pPr>
        <w:spacing w:after="120"/>
      </w:pPr>
      <w:r>
        <w:t>#### Positive Case — 26%</w:t>
      </w:r>
    </w:p>
    <w:p/>
    <w:p>
      <w:pPr>
        <w:spacing w:after="120"/>
      </w:pPr>
      <w:r>
        <w:t>```</w:t>
      </w:r>
    </w:p>
    <w:p>
      <w:pPr>
        <w:spacing w:after="120"/>
      </w:pPr>
      <w:r>
        <w:t>[전제 조건]</w:t>
      </w:r>
    </w:p>
    <w:p>
      <w:pPr>
        <w:spacing w:after="120"/>
      </w:pPr>
      <w:r>
        <w:t xml:space="preserve"> - 재무: 마진이 17%대로 회복(4Q 암시 16.6~17.2%를 상회), 수주잔고 증가 지속 ← 재무</w:t>
      </w:r>
    </w:p>
    <w:p>
      <w:pPr>
        <w:spacing w:after="120"/>
      </w:pPr>
      <w:r>
        <w:t xml:space="preserve"> - 산업: 10년물·모기지 금리가 하락 전환(30년 모기지 7% 하회), 수요 회복 ← 매크로</w:t>
      </w:r>
    </w:p>
    <w:p>
      <w:pPr>
        <w:spacing w:after="120"/>
      </w:pPr>
      <w:r>
        <w:t xml:space="preserve"> - 촉매: 신규 커뮤니티 확대와 Bay Area 고마진 믹스, 자사주 매입 지속 ← 실적 콜</w:t>
      </w:r>
    </w:p>
    <w:p>
      <w:pPr>
        <w:spacing w:after="120"/>
      </w:pPr>
      <w:r>
        <w:t xml:space="preserve"> - 시장: 금리 하락 시 주가가 가장 크게 반응(10/22 +6.2%), 공매도 비중(15.6%) 되돌림 ← 시세</w:t>
      </w:r>
    </w:p>
    <w:p/>
    <w:p>
      <w:pPr>
        <w:spacing w:after="120"/>
      </w:pPr>
      <w:r>
        <w:t>[예상 실적]  FY2027 EPS $4.0~4.8, 총마진 17~18%</w:t>
      </w:r>
    </w:p>
    <w:p>
      <w:pPr>
        <w:spacing w:after="120"/>
      </w:pPr>
      <w:r>
        <w:t>[주가 전망]  $57.95 ~ $70.00 (현재가 대비 +23.2% ~ +48.8%)</w:t>
      </w:r>
    </w:p>
    <w:p>
      <w:pPr>
        <w:spacing w:after="120"/>
      </w:pPr>
      <w:r>
        <w:t>[핵심 모니터링] 30년 모기지 금리 7% 하회, 월간 커뮤니티당 판매 3.1건 이상 회복, 4Q 총마진 17% 이상</w:t>
      </w:r>
    </w:p>
    <w:p>
      <w:pPr>
        <w:spacing w:after="120"/>
      </w:pPr>
      <w:r>
        <w:t>```</w:t>
      </w:r>
    </w:p>
    <w:p/>
    <w:p>
      <w:pPr>
        <w:spacing w:after="120"/>
      </w:pPr>
      <w:r>
        <w:t>- 참고: 정상화 이익 방법 상단($56)과 P/B 상단($59.43)이 이 구간 하단에 걸린다. $70은 집계된 애널리스트 단일 최고 TP로, 극단값에 가깝다.</w:t>
      </w:r>
    </w:p>
    <w:p/>
    <w:p>
      <w:pPr>
        <w:spacing w:after="120"/>
      </w:pPr>
      <w:r>
        <w:t>#### Base Case — 51%</w:t>
      </w:r>
    </w:p>
    <w:p/>
    <w:p>
      <w:pPr>
        <w:spacing w:after="120"/>
      </w:pPr>
      <w:r>
        <w:t>```</w:t>
      </w:r>
    </w:p>
    <w:p>
      <w:pPr>
        <w:spacing w:after="120"/>
      </w:pPr>
      <w:r>
        <w:t>[전제 조건]</w:t>
      </w:r>
    </w:p>
    <w:p>
      <w:pPr>
        <w:spacing w:after="120"/>
      </w:pPr>
      <w:r>
        <w:t xml:space="preserve"> - 재무: 총마진 16~17%, FY2026 EPS $3.2 안팎, FY2027 $3.6 안팎 ← 재무/컨센서스</w:t>
      </w:r>
    </w:p>
    <w:p>
      <w:pPr>
        <w:spacing w:after="120"/>
      </w:pPr>
      <w:r>
        <w:t xml:space="preserve"> - 산업: 모기지 금리 7%대 정체, 수요 완만 ← 매크로</w:t>
      </w:r>
    </w:p>
    <w:p>
      <w:pPr>
        <w:spacing w:after="120"/>
      </w:pPr>
      <w:r>
        <w:t xml:space="preserve"> - 촉매: 기존 가이던스 범위 달성, 배당·매입 유지 ← 회사 발표</w:t>
      </w:r>
    </w:p>
    <w:p>
      <w:pPr>
        <w:spacing w:after="120"/>
      </w:pPr>
      <w:r>
        <w:t xml:space="preserve"> - 공시: 특이 이벤트 없음 ← 공시</w:t>
      </w:r>
    </w:p>
    <w:p/>
    <w:p>
      <w:pPr>
        <w:spacing w:after="120"/>
      </w:pPr>
      <w:r>
        <w:t>[예상 실적]  FY2026 매출 $5.0B(±2%), FY2027 매출 +2%, EPS $3.5~3.7</w:t>
      </w:r>
    </w:p>
    <w:p>
      <w:pPr>
        <w:spacing w:after="120"/>
      </w:pPr>
      <w:r>
        <w:t>[주가 전망]  $40.06 ~ $57.95 (현재가 대비 -14.9% ~ +23.2%)</w:t>
      </w:r>
    </w:p>
    <w:p>
      <w:pPr>
        <w:spacing w:after="120"/>
      </w:pPr>
      <w:r>
        <w:t>[핵심 모니터링] 상방 이탈: 모기지 금리 하락, 주문 반등 / 하방 이탈: 4Q 마진 16% 하회, 4Q 인도 가이던스 하단 미달</w:t>
      </w:r>
    </w:p>
    <w:p>
      <w:pPr>
        <w:spacing w:after="120"/>
      </w:pPr>
      <w:r>
        <w:t>```</w:t>
      </w:r>
    </w:p>
    <w:p/>
    <w:p>
      <w:pPr>
        <w:spacing w:after="120"/>
      </w:pPr>
      <w:r>
        <w:t>#### Negative Case — 23%</w:t>
      </w:r>
    </w:p>
    <w:p/>
    <w:p>
      <w:pPr>
        <w:spacing w:after="120"/>
      </w:pPr>
      <w:r>
        <w:t>```</w:t>
      </w:r>
    </w:p>
    <w:p>
      <w:pPr>
        <w:spacing w:after="120"/>
      </w:pPr>
      <w:r>
        <w:t>[전제 조건]</w:t>
      </w:r>
    </w:p>
    <w:p>
      <w:pPr>
        <w:spacing w:after="120"/>
      </w:pPr>
      <w:r>
        <w:t xml:space="preserve"> - 재무: 인센티브 확대로 총마진 15%대 복귀, 부채/자본 38% 이상으로 상승 ← 재무</w:t>
      </w:r>
    </w:p>
    <w:p>
      <w:pPr>
        <w:spacing w:after="120"/>
      </w:pPr>
      <w:r>
        <w:t xml:space="preserve"> - 산업: 연준 추가 인상·10년물 재상승으로 모기지 7.5% 상회 ← 매크로</w:t>
      </w:r>
    </w:p>
    <w:p>
      <w:pPr>
        <w:spacing w:after="120"/>
      </w:pPr>
      <w:r>
        <w:t xml:space="preserve"> - 촉매: 주문 감소 지속, 재판매 시장과의 가격 경쟁 ← 뉴스/실적 콜</w:t>
      </w:r>
    </w:p>
    <w:p>
      <w:pPr>
        <w:spacing w:after="120"/>
      </w:pPr>
      <w:r>
        <w:t xml:space="preserve"> - 시장: 목표가 추가 하향, 소화 과정에서 변동성 확대 ← 시세</w:t>
      </w:r>
    </w:p>
    <w:p/>
    <w:p>
      <w:pPr>
        <w:spacing w:after="120"/>
      </w:pPr>
      <w:r>
        <w:t>[예상 실적]  FY2027 EPS $2.5~3.0 (현재 컨센서스 대비 -15~-30%)</w:t>
      </w:r>
    </w:p>
    <w:p>
      <w:pPr>
        <w:spacing w:after="120"/>
      </w:pPr>
      <w:r>
        <w:t>[주가 전망]  $34.00 ~ $40.06 (현재가 대비 -27.7% ~ -14.9%)</w:t>
      </w:r>
    </w:p>
    <w:p>
      <w:pPr>
        <w:spacing w:after="120"/>
      </w:pPr>
      <w:r>
        <w:t>[핵심 모니터링] 4Q 마진 및 인도 가이던스 하단, 주문 YoY 두 자릿수 감소 지속, 부채/자본 비율, 토지 계약 포기·재고 손상 발생 여부</w:t>
      </w:r>
    </w:p>
    <w:p>
      <w:pPr>
        <w:spacing w:after="120"/>
      </w:pPr>
      <w:r>
        <w:t>```</w:t>
      </w:r>
    </w:p>
    <w:p/>
    <w:p>
      <w:pPr>
        <w:spacing w:after="120"/>
      </w:pPr>
      <w:r>
        <w:t>- Negative 하단 $34.00은 Argus 최저 목표가이며 P/B 약 0.54x에 해당한다. 과거 사이클 저점 추정은 포함하지 않았다.</w:t>
      </w:r>
    </w:p>
    <w:p/>
    <w:p>
      <w:pPr>
        <w:spacing w:after="120"/>
      </w:pPr>
      <w:r/>
      <w:r>
        <w:rPr>
          <w:b/>
        </w:rPr>
        <w:t>확률 가중 참고값(본 에이전트 산술):</w:t>
      </w:r>
      <w:r>
        <w:t xml:space="preserve"> 구간 중간값(Positive $63.98 / Base $49.01 / Negative $37.03)을 확률로 가중하면 약 $50.15(현재가 대비 약 +6.6%)이다. 예측치가 아닌 참고 수치로만 본다.</w:t>
      </w:r>
    </w:p>
    <w:p/>
    <w:p>
      <w:pPr>
        <w:pStyle w:val="Heading3"/>
      </w:pPr>
      <w:r>
        <w:rPr>
          <w:b/>
          <w:color w:val="000000"/>
          <w:sz w:val="24"/>
        </w:rPr>
        <w:t>7.2 시나리오 간 전환 신호 (Trigger Watch)</w:t>
      </w:r>
    </w:p>
    <w:p/>
    <w:p>
      <w:pPr>
        <w:spacing w:after="120"/>
      </w:pPr>
      <w:r>
        <w:t xml:space="preserve">- </w:t>
      </w:r>
      <w:r>
        <w:rPr>
          <w:b/>
        </w:rPr>
        <w:t>Base → Positive 상향 신호:</w:t>
      </w:r>
      <w:r>
        <w:t xml:space="preserve"> 30년 모기지 7% 하회, 10년물 4.75% 이하 안착, 주문 YoY 증가 전환, 4Q 마진 17% 이상, FY2027 가이던스에서 EPS 개선 시사.</w:t>
      </w:r>
    </w:p>
    <w:p>
      <w:pPr>
        <w:spacing w:after="120"/>
      </w:pPr>
      <w:r>
        <w:t xml:space="preserve">- </w:t>
      </w:r>
      <w:r>
        <w:rPr>
          <w:b/>
        </w:rPr>
        <w:t>Positive → Base 하향 신호:</w:t>
      </w:r>
      <w:r>
        <w:t xml:space="preserve"> 금리 반등, 마진 16.5% 미만 정체, 월간 커뮤니티당 판매 3.1건 미회복.</w:t>
      </w:r>
    </w:p>
    <w:p>
      <w:pPr>
        <w:spacing w:after="120"/>
      </w:pPr>
      <w:r>
        <w:t xml:space="preserve">- </w:t>
      </w:r>
      <w:r>
        <w:rPr>
          <w:b/>
        </w:rPr>
        <w:t>Base → Negative 하향 신호:</w:t>
      </w:r>
      <w:r>
        <w:t xml:space="preserve"> 연준 추가 인상, 모기지 7.5% 상회, 4Q 인도 10,500채 하단 미달, 인센티브 증가 언급.</w:t>
      </w:r>
    </w:p>
    <w:p>
      <w:pPr>
        <w:spacing w:after="120"/>
      </w:pPr>
      <w:r>
        <w:t xml:space="preserve">- </w:t>
      </w:r>
      <w:r>
        <w:rPr>
          <w:b/>
        </w:rPr>
        <w:t>Negative → Base 상향 신호:</w:t>
      </w:r>
      <w:r>
        <w:t xml:space="preserve"> 연준 동결·인하 시사, 장기금리 하락, 재고 손상 없이 4Q 가이던스 달성.</w:t>
      </w:r>
    </w:p>
    <w:p/>
    <w:p>
      <w:pPr>
        <w:pStyle w:val="Heading3"/>
      </w:pPr>
      <w:r>
        <w:rPr>
          <w:b/>
          <w:color w:val="000000"/>
          <w:sz w:val="24"/>
        </w:rPr>
        <w:t>7.3 핵심 투자 포인트 (Key Takeaways)</w:t>
      </w:r>
    </w:p>
    <w:p/>
    <w:p>
      <w:pPr>
        <w:spacing w:after="120"/>
      </w:pPr>
      <w:r/>
      <w:r>
        <w:rPr>
          <w:b/>
        </w:rPr>
        <w:t>가장 중요한 기회 요인</w:t>
      </w:r>
      <w:r/>
    </w:p>
    <w:p>
      <w:pPr>
        <w:spacing w:after="120"/>
      </w:pPr>
      <w:r>
        <w:t>1. BTO 전환 완료와 마진의 분기 개선, 4년 만의 수주잔고 증가 (← 회사, 실적 콜).</w:t>
      </w:r>
    </w:p>
    <w:p>
      <w:pPr>
        <w:spacing w:after="120"/>
      </w:pPr>
      <w:r>
        <w:t>2. 자기자본 대비 할인(P/B 0.75x)과 주식 수 감소(-11.8%)로 금리 하락 시 주당 지표 민감도가 큼 (← StockAnalysis).</w:t>
      </w:r>
    </w:p>
    <w:p>
      <w:pPr>
        <w:spacing w:after="120"/>
      </w:pPr>
      <w:r>
        <w:t>3. West Coast 고마진 믹스가 2027년까지 지속 (← 실적 콜, 추정 단계).</w:t>
      </w:r>
    </w:p>
    <w:p/>
    <w:p>
      <w:pPr>
        <w:spacing w:after="120"/>
      </w:pPr>
      <w:r/>
      <w:r>
        <w:rPr>
          <w:b/>
        </w:rPr>
        <w:t>가장 주의해야 할 리스크</w:t>
      </w:r>
      <w:r/>
    </w:p>
    <w:p>
      <w:pPr>
        <w:spacing w:after="120"/>
      </w:pPr>
      <w:r>
        <w:t>1. 연준 인상 + 모기지 7.3%대: 수요 회복 시점의 불확실성 (← Freddie Mac, J.P. Morgan).</w:t>
      </w:r>
    </w:p>
    <w:p>
      <w:pPr>
        <w:spacing w:after="120"/>
      </w:pPr>
      <w:r>
        <w:t>2. 낮은 ROE(5.9%)와 FCF, 차입 증가로 지속 가능한 주주환원 여력 제약 (← StockAnalysis, 회사).</w:t>
      </w:r>
    </w:p>
    <w:p>
      <w:pPr>
        <w:spacing w:after="120"/>
      </w:pPr>
      <w:r>
        <w:t>3. 애널리스트 목표가 연속 하향 및 높은 공매도 비중으로 인한 변동성 (← StockAnalysis).</w:t>
      </w:r>
    </w:p>
    <w:p/>
    <w:p>
      <w:pPr>
        <w:spacing w:after="120"/>
      </w:pPr>
      <w:r/>
      <w:r>
        <w:rPr>
          <w:b/>
        </w:rPr>
        <w:t>향후 3~6개월 확인 이벤트</w:t>
      </w:r>
      <w:r/>
    </w:p>
    <w:p>
      <w:pPr>
        <w:spacing w:after="120"/>
      </w:pPr>
      <w:r>
        <w:t>- 매주 Freddie Mac 모기지 금리, 11월 중순 배당락(11/12).</w:t>
      </w:r>
    </w:p>
    <w:p>
      <w:pPr>
        <w:spacing w:after="120"/>
      </w:pPr>
      <w:r>
        <w:t>- 12월 FOMC 결과와 금리 경로.</w:t>
      </w:r>
    </w:p>
    <w:p>
      <w:pPr>
        <w:spacing w:after="120"/>
      </w:pPr>
      <w:r>
        <w:t>- 12월 중순(추정) 4Q·FY2026 실적과 FY2027 가이던스: 마진, 인도, 주문, 수주잔고.</w:t>
      </w:r>
    </w:p>
    <w:p/>
    <w:p>
      <w:pPr>
        <w:pBdr>
          <w:bottom w:val="single" w:sz="6" w:space="1" w:color="2F5496"/>
        </w:pBdr>
      </w:pPr>
    </w:p>
    <w:p/>
    <w:p>
      <w:pPr>
        <w:pStyle w:val="Heading2"/>
      </w:pPr>
      <w:r>
        <w:rPr>
          <w:b/>
          <w:color w:val="2F5496"/>
          <w:sz w:val="28"/>
        </w:rPr>
        <w:t>부록 A: 주요 재무지표 원본 테이블</w:t>
      </w:r>
    </w:p>
    <w:p/>
    <w:p>
      <w:pPr>
        <w:spacing w:after="120"/>
      </w:pPr>
      <w:r>
        <w:t>(← 회사 발표·StockAnalysis, 단위: 달러)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</w:rPr>
              <w:t>지표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</w:rPr>
              <w:t>FY2025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</w:rPr>
              <w:t>9M FY2025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</w:rPr>
              <w:t>9M FY2026</w:t>
            </w:r>
          </w:p>
        </w:tc>
      </w:tr>
      <w:tr>
        <w:tc>
          <w:tcPr>
            <w:tcW w:type="dxa" w:w="2351"/>
          </w:tcPr>
          <w:p>
            <w:r>
              <w:t>총매출</w:t>
            </w:r>
          </w:p>
        </w:tc>
        <w:tc>
          <w:tcPr>
            <w:tcW w:type="dxa" w:w="2351"/>
          </w:tcPr>
          <w:p>
            <w:r>
              <w:t>$6,236.2M</w:t>
            </w:r>
          </w:p>
        </w:tc>
        <w:tc>
          <w:tcPr>
            <w:tcW w:type="dxa" w:w="2351"/>
          </w:tcPr>
          <w:p>
            <w:r>
              <w:t>$4,541.8M</w:t>
            </w:r>
          </w:p>
        </w:tc>
        <w:tc>
          <w:tcPr>
            <w:tcW w:type="dxa" w:w="2351"/>
          </w:tcPr>
          <w:p>
            <w:r>
              <w:t>$3,486.5M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t>홈빌딩 영업이익</w:t>
            </w:r>
          </w:p>
        </w:tc>
        <w:tc>
          <w:tcPr>
            <w:tcW w:type="dxa" w:w="2351"/>
            <w:shd w:val="clear" w:color="auto" w:fill="F2F2F2"/>
          </w:tcPr>
          <w:p>
            <w:r>
              <w:t>$507.1M</w:t>
            </w:r>
          </w:p>
        </w:tc>
        <w:tc>
          <w:tcPr>
            <w:tcW w:type="dxa" w:w="2351"/>
            <w:shd w:val="clear" w:color="auto" w:fill="F2F2F2"/>
          </w:tcPr>
          <w:p>
            <w:r>
              <w:t>$390.0M</w:t>
            </w:r>
          </w:p>
        </w:tc>
        <w:tc>
          <w:tcPr>
            <w:tcW w:type="dxa" w:w="2351"/>
            <w:shd w:val="clear" w:color="auto" w:fill="F2F2F2"/>
          </w:tcPr>
          <w:p>
            <w:r>
              <w:t>$128.3M</w:t>
            </w:r>
          </w:p>
        </w:tc>
      </w:tr>
      <w:tr>
        <w:tc>
          <w:tcPr>
            <w:tcW w:type="dxa" w:w="2351"/>
          </w:tcPr>
          <w:p>
            <w:r>
              <w:t>순이익</w:t>
            </w:r>
          </w:p>
        </w:tc>
        <w:tc>
          <w:tcPr>
            <w:tcW w:type="dxa" w:w="2351"/>
          </w:tcPr>
          <w:p>
            <w:r>
              <w:t>$428.8M</w:t>
            </w:r>
          </w:p>
        </w:tc>
        <w:tc>
          <w:tcPr>
            <w:tcW w:type="dxa" w:w="2351"/>
          </w:tcPr>
          <w:p>
            <w:r>
              <w:t>$327.3M</w:t>
            </w:r>
          </w:p>
        </w:tc>
        <w:tc>
          <w:tcPr>
            <w:tcW w:type="dxa" w:w="2351"/>
          </w:tcPr>
          <w:p>
            <w:r>
              <w:t>$126.1M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t>희석 EPS (GAAP)</w:t>
            </w:r>
          </w:p>
        </w:tc>
        <w:tc>
          <w:tcPr>
            <w:tcW w:type="dxa" w:w="2351"/>
            <w:shd w:val="clear" w:color="auto" w:fill="F2F2F2"/>
          </w:tcPr>
          <w:p>
            <w:r>
              <w:t>$6.15</w:t>
            </w:r>
          </w:p>
        </w:tc>
        <w:tc>
          <w:tcPr>
            <w:tcW w:type="dxa" w:w="2351"/>
            <w:shd w:val="clear" w:color="auto" w:fill="F2F2F2"/>
          </w:tcPr>
          <w:p>
            <w:r>
              <w:t>$4.60</w:t>
            </w:r>
          </w:p>
        </w:tc>
        <w:tc>
          <w:tcPr>
            <w:tcW w:type="dxa" w:w="2351"/>
            <w:shd w:val="clear" w:color="auto" w:fill="F2F2F2"/>
          </w:tcPr>
          <w:p>
            <w:r>
              <w:t>$2.00</w:t>
            </w:r>
          </w:p>
        </w:tc>
      </w:tr>
      <w:tr>
        <w:tc>
          <w:tcPr>
            <w:tcW w:type="dxa" w:w="2351"/>
          </w:tcPr>
          <w:p>
            <w:r>
              <w:t>인도(채)</w:t>
            </w:r>
          </w:p>
        </w:tc>
        <w:tc>
          <w:tcPr>
            <w:tcW w:type="dxa" w:w="2351"/>
          </w:tcPr>
          <w:p>
            <w:r>
              <w:t>12,902</w:t>
            </w:r>
          </w:p>
        </w:tc>
        <w:tc>
          <w:tcPr>
            <w:tcW w:type="dxa" w:w="2351"/>
          </w:tcPr>
          <w:p>
            <w:r>
              <w:t>9,283</w:t>
            </w:r>
          </w:p>
        </w:tc>
        <w:tc>
          <w:tcPr>
            <w:tcW w:type="dxa" w:w="2351"/>
          </w:tcPr>
          <w:p>
            <w:r>
              <w:t>7,497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t>ASP</w:t>
            </w:r>
          </w:p>
        </w:tc>
        <w:tc>
          <w:tcPr>
            <w:tcW w:type="dxa" w:w="2351"/>
            <w:shd w:val="clear" w:color="auto" w:fill="F2F2F2"/>
          </w:tcPr>
          <w:p>
            <w:r>
              <w:t>$481,400</w:t>
            </w:r>
          </w:p>
        </w:tc>
        <w:tc>
          <w:tcPr>
            <w:tcW w:type="dxa" w:w="2351"/>
            <w:shd w:val="clear" w:color="auto" w:fill="F2F2F2"/>
          </w:tcPr>
          <w:p>
            <w:r>
              <w:t>$487,500</w:t>
            </w:r>
          </w:p>
        </w:tc>
        <w:tc>
          <w:tcPr>
            <w:tcW w:type="dxa" w:w="2351"/>
            <w:shd w:val="clear" w:color="auto" w:fill="F2F2F2"/>
          </w:tcPr>
          <w:p>
            <w:r>
              <w:t>$462,900</w:t>
            </w:r>
          </w:p>
        </w:tc>
      </w:tr>
      <w:tr>
        <w:tc>
          <w:tcPr>
            <w:tcW w:type="dxa" w:w="2351"/>
          </w:tcPr>
          <w:p>
            <w:r>
              <w:t>순주문(건)</w:t>
            </w:r>
          </w:p>
        </w:tc>
        <w:tc>
          <w:tcPr>
            <w:tcW w:type="dxa" w:w="2351"/>
          </w:tcPr>
          <w:p>
            <w:r>
              <w:t>11,596</w:t>
            </w:r>
          </w:p>
        </w:tc>
        <w:tc>
          <w:tcPr>
            <w:tcW w:type="dxa" w:w="2351"/>
          </w:tcPr>
          <w:p>
            <w:r>
              <w:t>9,182</w:t>
            </w:r>
          </w:p>
        </w:tc>
        <w:tc>
          <w:tcPr>
            <w:tcW w:type="dxa" w:w="2351"/>
          </w:tcPr>
          <w:p>
            <w:r>
              <w:t>8,767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t>주택 조정 총마진</w:t>
            </w:r>
          </w:p>
        </w:tc>
        <w:tc>
          <w:tcPr>
            <w:tcW w:type="dxa" w:w="2351"/>
            <w:shd w:val="clear" w:color="auto" w:fill="F2F2F2"/>
          </w:tcPr>
          <w:p>
            <w:r>
              <w:t>-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color w:val="007000"/>
              </w:rPr>
              <w:t>19.6%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color w:val="007000"/>
              </w:rPr>
              <w:t>16.1%</w:t>
            </w:r>
          </w:p>
        </w:tc>
      </w:tr>
      <w:tr>
        <w:tc>
          <w:tcPr>
            <w:tcW w:type="dxa" w:w="2351"/>
          </w:tcPr>
          <w:p>
            <w:r>
              <w:t>재고</w:t>
            </w:r>
          </w:p>
        </w:tc>
        <w:tc>
          <w:tcPr>
            <w:tcW w:type="dxa" w:w="2351"/>
          </w:tcPr>
          <w:p>
            <w:r>
              <w:t>$5,670.8M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$5,981.2M(8/31)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t>자기자본</w:t>
            </w:r>
          </w:p>
        </w:tc>
        <w:tc>
          <w:tcPr>
            <w:tcW w:type="dxa" w:w="2351"/>
            <w:shd w:val="clear" w:color="auto" w:fill="F2F2F2"/>
          </w:tcPr>
          <w:p>
            <w:r>
              <w:t>$3,900.9M</w:t>
            </w:r>
          </w:p>
        </w:tc>
        <w:tc>
          <w:tcPr>
            <w:tcW w:type="dxa" w:w="2351"/>
            <w:shd w:val="clear" w:color="auto" w:fill="F2F2F2"/>
          </w:tcPr>
          <w:p>
            <w:r>
              <w:t>-</w:t>
            </w:r>
          </w:p>
        </w:tc>
        <w:tc>
          <w:tcPr>
            <w:tcW w:type="dxa" w:w="2351"/>
            <w:shd w:val="clear" w:color="auto" w:fill="F2F2F2"/>
          </w:tcPr>
          <w:p>
            <w:r>
              <w:t>$3,801.5M(8/31)</w:t>
            </w:r>
          </w:p>
        </w:tc>
      </w:tr>
    </w:tbl>
    <w:p/>
    <w:p>
      <w:pPr>
        <w:pBdr>
          <w:bottom w:val="single" w:sz="6" w:space="1" w:color="2F5496"/>
        </w:pBdr>
      </w:pPr>
    </w:p>
    <w:p/>
    <w:p>
      <w:pPr>
        <w:pStyle w:val="Heading2"/>
      </w:pPr>
      <w:r>
        <w:rPr>
          <w:b/>
          <w:color w:val="2F5496"/>
          <w:sz w:val="28"/>
        </w:rPr>
        <w:t>부록 B: 밸류에이션 상세 계산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</w:rPr>
              <w:t>값</w:t>
            </w:r>
          </w:p>
        </w:tc>
      </w:tr>
      <w:tr>
        <w:tc>
          <w:tcPr>
            <w:tcW w:type="dxa" w:w="4703"/>
          </w:tcPr>
          <w:p>
            <w:r>
              <w:t>현재가(2026-10-23 종가)</w:t>
            </w:r>
          </w:p>
        </w:tc>
        <w:tc>
          <w:tcPr>
            <w:tcW w:type="dxa" w:w="4703"/>
          </w:tcPr>
          <w:p>
            <w:r>
              <w:t>$47.05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t>주식수 / 시가총액</w:t>
            </w:r>
          </w:p>
        </w:tc>
        <w:tc>
          <w:tcPr>
            <w:tcW w:type="dxa" w:w="4703"/>
            <w:shd w:val="clear" w:color="auto" w:fill="F2F2F2"/>
          </w:tcPr>
          <w:p>
            <w:r>
              <w:t>60.76M / $2.86B</w:t>
            </w:r>
          </w:p>
        </w:tc>
      </w:tr>
      <w:tr>
        <w:tc>
          <w:tcPr>
            <w:tcW w:type="dxa" w:w="4703"/>
          </w:tcPr>
          <w:p>
            <w:r>
              <w:t>BPS</w:t>
            </w:r>
          </w:p>
        </w:tc>
        <w:tc>
          <w:tcPr>
            <w:tcW w:type="dxa" w:w="4703"/>
          </w:tcPr>
          <w:p>
            <w:r>
              <w:t>$62.56 (P/B 0.75x)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t>TTM EPS / 후행 P/E</w:t>
            </w:r>
          </w:p>
        </w:tc>
        <w:tc>
          <w:tcPr>
            <w:tcW w:type="dxa" w:w="4703"/>
            <w:shd w:val="clear" w:color="auto" w:fill="F2F2F2"/>
          </w:tcPr>
          <w:p>
            <w:r>
              <w:t>$3.58 / 13.2x</w:t>
            </w:r>
          </w:p>
        </w:tc>
      </w:tr>
      <w:tr>
        <w:tc>
          <w:tcPr>
            <w:tcW w:type="dxa" w:w="4703"/>
          </w:tcPr>
          <w:p>
            <w:r>
              <w:t>FY2026E / FY2027E EPS</w:t>
            </w:r>
          </w:p>
        </w:tc>
        <w:tc>
          <w:tcPr>
            <w:tcW w:type="dxa" w:w="4703"/>
          </w:tcPr>
          <w:p>
            <w:r>
              <w:t>$3.23 / $3.59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t>선행 P/E 방법</w:t>
            </w:r>
          </w:p>
        </w:tc>
        <w:tc>
          <w:tcPr>
            <w:tcW w:type="dxa" w:w="4703"/>
            <w:shd w:val="clear" w:color="auto" w:fill="F2F2F2"/>
          </w:tcPr>
          <w:p>
            <w:r>
              <w:t>11x / 13.8x / 16x → $39.49 / $49.54 / $57.44</w:t>
            </w:r>
          </w:p>
        </w:tc>
      </w:tr>
      <w:tr>
        <w:tc>
          <w:tcPr>
            <w:tcW w:type="dxa" w:w="4703"/>
          </w:tcPr>
          <w:p>
            <w:r>
              <w:t>P/B 방법</w:t>
            </w:r>
          </w:p>
        </w:tc>
        <w:tc>
          <w:tcPr>
            <w:tcW w:type="dxa" w:w="4703"/>
          </w:tcPr>
          <w:p>
            <w:r>
              <w:t>0.65x / 0.80x / 0.95x → $40.66 / $50.05 / $59.43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t>정상화 이익 방법</w:t>
            </w:r>
          </w:p>
        </w:tc>
        <w:tc>
          <w:tcPr>
            <w:tcW w:type="dxa" w:w="4703"/>
            <w:shd w:val="clear" w:color="auto" w:fill="F2F2F2"/>
          </w:tcPr>
          <w:p>
            <w:r>
              <w:t>EPS $4.0/$4.8/$5.6 × 10x → $40 / $48 / $56</w:t>
            </w:r>
          </w:p>
        </w:tc>
      </w:tr>
      <w:tr>
        <w:tc>
          <w:tcPr>
            <w:tcW w:type="dxa" w:w="4703"/>
          </w:tcPr>
          <w:p>
            <w:r>
              <w:t>가중치</w:t>
            </w:r>
          </w:p>
        </w:tc>
        <w:tc>
          <w:tcPr>
            <w:tcW w:type="dxa" w:w="4703"/>
          </w:tcPr>
          <w:p>
            <w:r>
              <w:rPr>
                <w:color w:val="007000"/>
              </w:rPr>
              <w:t>40% / 40% / 20%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t>가중 평균</w:t>
            </w:r>
          </w:p>
        </w:tc>
        <w:tc>
          <w:tcPr>
            <w:tcW w:type="dxa" w:w="4703"/>
            <w:shd w:val="clear" w:color="auto" w:fill="F2F2F2"/>
          </w:tcPr>
          <w:p>
            <w:r>
              <w:t>$40.06 / $49.44 / $57.95</w:t>
            </w:r>
          </w:p>
        </w:tc>
      </w:tr>
      <w:tr>
        <w:tc>
          <w:tcPr>
            <w:tcW w:type="dxa" w:w="4703"/>
          </w:tcPr>
          <w:p>
            <w:r>
              <w:t>베타</w:t>
            </w:r>
          </w:p>
        </w:tc>
        <w:tc>
          <w:tcPr>
            <w:tcW w:type="dxa" w:w="4703"/>
          </w:tcPr>
          <w:p>
            <w:r>
              <w:t>1.34</w:t>
            </w:r>
          </w:p>
        </w:tc>
      </w:tr>
    </w:tbl>
    <w:p/>
    <w:p>
      <w:pPr>
        <w:pBdr>
          <w:bottom w:val="single" w:sz="6" w:space="1" w:color="2F5496"/>
        </w:pBdr>
      </w:pPr>
    </w:p>
    <w:p/>
    <w:p>
      <w:pPr>
        <w:pStyle w:val="Heading2"/>
      </w:pPr>
      <w:r>
        <w:rPr>
          <w:b/>
          <w:color w:val="2F5496"/>
          <w:sz w:val="28"/>
        </w:rPr>
        <w:t>부록 C: 참고 자료 목록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</w:rPr>
              <w:t>출처</w:t>
            </w:r>
          </w:p>
        </w:tc>
      </w:tr>
      <w:tr>
        <w:tc>
          <w:tcPr>
            <w:tcW w:type="dxa" w:w="4703"/>
          </w:tcPr>
          <w:p>
            <w:r>
              <w:t>3Q26 실적</w:t>
            </w:r>
          </w:p>
        </w:tc>
        <w:tc>
          <w:tcPr>
            <w:tcW w:type="dxa" w:w="4703"/>
          </w:tcPr>
          <w:p>
            <w:r>
              <w:t>KB Home IR / PR Newswire (2026-09-22), 실적 콜 요약(GuruFocus·Yahoo Finance), HousingWire, StockStory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t>2Q26·FY2025 실적</w:t>
            </w:r>
          </w:p>
        </w:tc>
        <w:tc>
          <w:tcPr>
            <w:tcW w:type="dxa" w:w="4703"/>
            <w:shd w:val="clear" w:color="auto" w:fill="F2F2F2"/>
          </w:tcPr>
          <w:p>
            <w:r>
              <w:t>KB Home IR 보도자료</w:t>
            </w:r>
          </w:p>
        </w:tc>
      </w:tr>
      <w:tr>
        <w:tc>
          <w:tcPr>
            <w:tcW w:type="dxa" w:w="4703"/>
          </w:tcPr>
          <w:p>
            <w:r>
              <w:t>통계·컨센서스</w:t>
            </w:r>
          </w:p>
        </w:tc>
        <w:tc>
          <w:tcPr>
            <w:tcW w:type="dxa" w:w="4703"/>
          </w:tcPr>
          <w:p>
            <w:r>
              <w:t>StockAnalysis (KBH 통계·전망, DHI·LEN·PHM 통계), MarketBeat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t>매크로</w:t>
            </w:r>
          </w:p>
        </w:tc>
        <w:tc>
          <w:tcPr>
            <w:tcW w:type="dxa" w:w="4703"/>
            <w:shd w:val="clear" w:color="auto" w:fill="F2F2F2"/>
          </w:tcPr>
          <w:p>
            <w:r>
              <w:t>Freddie Mac PMMS, FRED(MORTGAGE30US), Yahoo Finance, Mortgage Reports, J.P. Morgan 주택 전망, NAHB(2월), Fannie Mae/SoFi(상반기)</w:t>
            </w:r>
          </w:p>
        </w:tc>
      </w:tr>
      <w:tr>
        <w:tc>
          <w:tcPr>
            <w:tcW w:type="dxa" w:w="4703"/>
          </w:tcPr>
          <w:p>
            <w:r>
              <w:t>가격 데이터</w:t>
            </w:r>
          </w:p>
        </w:tc>
        <w:tc>
          <w:tcPr>
            <w:tcW w:type="dxa" w:w="4703"/>
          </w:tcPr>
          <w:p>
            <w:r>
              <w:t>yfinance 조회 실패(rate limit)로 StockAnalysis 종가 사용</w:t>
            </w:r>
          </w:p>
        </w:tc>
      </w:tr>
    </w:tbl>
    <w:p/>
    <w:p>
      <w:pPr>
        <w:spacing w:after="120"/>
      </w:pPr>
      <w:r>
        <w:t>&gt; 본 리포트의 주가 범위는 분석 시나리오이며 특정 가격 도달을 단언하지 않습니다. 투자 결정과 그 결과는 투자자 본인의 책임입니다.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