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029B" w14:textId="77777777" w:rsidR="00795426" w:rsidRPr="00B246DA" w:rsidRDefault="00795426" w:rsidP="00795426">
      <w:pPr>
        <w:rPr>
          <w:b/>
          <w:bCs/>
        </w:rPr>
      </w:pPr>
      <w:r w:rsidRPr="00B246DA">
        <w:rPr>
          <w:b/>
          <w:bCs/>
        </w:rPr>
        <w:t>Project Results Summary and Interpretation</w:t>
      </w:r>
    </w:p>
    <w:p w14:paraId="192BDAD0" w14:textId="77777777" w:rsidR="00795426" w:rsidRPr="00B246DA" w:rsidRDefault="00795426" w:rsidP="00795426">
      <w:pPr>
        <w:rPr>
          <w:b/>
          <w:bCs/>
        </w:rPr>
      </w:pPr>
      <w:r w:rsidRPr="00B246DA">
        <w:rPr>
          <w:b/>
          <w:bCs/>
        </w:rPr>
        <w:t>Study Overview</w:t>
      </w:r>
    </w:p>
    <w:p w14:paraId="4276239F" w14:textId="77777777" w:rsidR="00795426" w:rsidRPr="00B246DA" w:rsidRDefault="00795426" w:rsidP="00795426">
      <w:r w:rsidRPr="00B246DA">
        <w:t xml:space="preserve">This study examined the association between alcohol consumption (high vs. low) and </w:t>
      </w:r>
      <w:r w:rsidRPr="00B246DA">
        <w:rPr>
          <w:b/>
          <w:bCs/>
        </w:rPr>
        <w:t>congestive heart failure (CHF)</w:t>
      </w:r>
      <w:r w:rsidRPr="00B246DA">
        <w:t xml:space="preserve"> among U.S. adults aged ≥21 years using NHANES 2017–2020 data. Multiple analytic strategies were applied to ensure robustness, including </w:t>
      </w:r>
      <w:r w:rsidRPr="00B246DA">
        <w:rPr>
          <w:b/>
          <w:bCs/>
        </w:rPr>
        <w:t>unweighted logistic regression</w:t>
      </w:r>
      <w:r w:rsidRPr="00B246DA">
        <w:t xml:space="preserve">, </w:t>
      </w:r>
      <w:r w:rsidRPr="00B246DA">
        <w:rPr>
          <w:b/>
          <w:bCs/>
        </w:rPr>
        <w:t>survey-weighted models accounting for the NHANES complex design</w:t>
      </w:r>
      <w:r w:rsidRPr="00B246DA">
        <w:t xml:space="preserve">, and </w:t>
      </w:r>
      <w:r w:rsidRPr="00B246DA">
        <w:rPr>
          <w:b/>
          <w:bCs/>
        </w:rPr>
        <w:t>SES-stratified adjusted analyses</w:t>
      </w:r>
      <w:r w:rsidRPr="00B246DA">
        <w:t>. Covariates were selected based on bivariate screening and prior knowledge, including age, sex, race/ethnicity, education, BMI category, smoking status, physical activity, and a composite comorbidity indicator.</w:t>
      </w:r>
    </w:p>
    <w:p w14:paraId="49415E3B" w14:textId="77777777" w:rsidR="00795426" w:rsidRDefault="00795426" w:rsidP="00795426"/>
    <w:p w14:paraId="6BC8E49C" w14:textId="77777777" w:rsidR="00795426" w:rsidRPr="00B246DA" w:rsidRDefault="00795426" w:rsidP="00795426">
      <w:pPr>
        <w:rPr>
          <w:b/>
          <w:bCs/>
        </w:rPr>
      </w:pPr>
      <w:r w:rsidRPr="00B246DA">
        <w:rPr>
          <w:b/>
          <w:bCs/>
        </w:rPr>
        <w:t>Main Association Between Alcohol Use and CHF</w:t>
      </w:r>
    </w:p>
    <w:p w14:paraId="14F71316" w14:textId="77777777" w:rsidR="00795426" w:rsidRPr="00B246DA" w:rsidRDefault="00795426" w:rsidP="00795426">
      <w:r w:rsidRPr="00B246DA">
        <w:t xml:space="preserve">Across all models, </w:t>
      </w:r>
      <w:r w:rsidRPr="00B246DA">
        <w:rPr>
          <w:b/>
          <w:bCs/>
        </w:rPr>
        <w:t>no statistically significant association</w:t>
      </w:r>
      <w:r w:rsidRPr="00B246DA">
        <w:t xml:space="preserve"> was observed between high alcohol consumption and CHF.</w:t>
      </w:r>
    </w:p>
    <w:p w14:paraId="65A3E15F" w14:textId="77777777" w:rsidR="00795426" w:rsidRPr="00B246DA" w:rsidRDefault="00795426" w:rsidP="00795426">
      <w:pPr>
        <w:numPr>
          <w:ilvl w:val="0"/>
          <w:numId w:val="2"/>
        </w:numPr>
      </w:pPr>
      <w:r w:rsidRPr="00B246DA">
        <w:rPr>
          <w:b/>
          <w:bCs/>
        </w:rPr>
        <w:t>Unweighted crude model</w:t>
      </w:r>
      <w:r w:rsidRPr="00B246DA">
        <w:t>:</w:t>
      </w:r>
      <w:r w:rsidRPr="00B246DA">
        <w:br/>
        <w:t xml:space="preserve">OR = </w:t>
      </w:r>
      <w:r w:rsidRPr="00B246DA">
        <w:rPr>
          <w:b/>
          <w:bCs/>
        </w:rPr>
        <w:t>0.79</w:t>
      </w:r>
      <w:r w:rsidRPr="00B246DA">
        <w:t xml:space="preserve"> (95% CI: 0.52–1.19), </w:t>
      </w:r>
      <w:r w:rsidRPr="00B246DA">
        <w:rPr>
          <w:i/>
          <w:iCs/>
        </w:rPr>
        <w:t>p</w:t>
      </w:r>
      <w:r w:rsidRPr="00B246DA">
        <w:t xml:space="preserve"> = 0.266</w:t>
      </w:r>
    </w:p>
    <w:p w14:paraId="5B09E40F" w14:textId="77777777" w:rsidR="00795426" w:rsidRPr="00B246DA" w:rsidRDefault="00795426" w:rsidP="00795426">
      <w:pPr>
        <w:numPr>
          <w:ilvl w:val="0"/>
          <w:numId w:val="2"/>
        </w:numPr>
      </w:pPr>
      <w:r w:rsidRPr="00B246DA">
        <w:rPr>
          <w:b/>
          <w:bCs/>
        </w:rPr>
        <w:t>Unweighted adjusted model</w:t>
      </w:r>
      <w:r w:rsidRPr="00B246DA">
        <w:t>:</w:t>
      </w:r>
      <w:r w:rsidRPr="00B246DA">
        <w:br/>
        <w:t xml:space="preserve">OR = </w:t>
      </w:r>
      <w:r w:rsidRPr="00B246DA">
        <w:rPr>
          <w:b/>
          <w:bCs/>
        </w:rPr>
        <w:t>0.81</w:t>
      </w:r>
      <w:r w:rsidRPr="00B246DA">
        <w:t xml:space="preserve"> (95% CI: 0.51–1.29), </w:t>
      </w:r>
      <w:r w:rsidRPr="00B246DA">
        <w:rPr>
          <w:i/>
          <w:iCs/>
        </w:rPr>
        <w:t>p</w:t>
      </w:r>
      <w:r w:rsidRPr="00B246DA">
        <w:t xml:space="preserve"> = 0.384</w:t>
      </w:r>
    </w:p>
    <w:p w14:paraId="257EF888" w14:textId="77777777" w:rsidR="00795426" w:rsidRPr="00B246DA" w:rsidRDefault="00795426" w:rsidP="00795426">
      <w:r w:rsidRPr="00B246DA">
        <w:t xml:space="preserve">These results suggest a </w:t>
      </w:r>
      <w:r w:rsidRPr="00B246DA">
        <w:rPr>
          <w:b/>
          <w:bCs/>
        </w:rPr>
        <w:t>non-significant inverse association</w:t>
      </w:r>
      <w:r w:rsidRPr="00B246DA">
        <w:t xml:space="preserve"> in unweighted analyses, which weakens after covariate adjustment.</w:t>
      </w:r>
    </w:p>
    <w:p w14:paraId="13112E29" w14:textId="77777777" w:rsidR="00795426" w:rsidRPr="00B246DA" w:rsidRDefault="00795426" w:rsidP="00795426">
      <w:r w:rsidRPr="00B246DA">
        <w:t>When accounting for the NHANES sampling design:</w:t>
      </w:r>
    </w:p>
    <w:p w14:paraId="15248994" w14:textId="77777777" w:rsidR="00795426" w:rsidRPr="00B246DA" w:rsidRDefault="00795426" w:rsidP="00795426">
      <w:pPr>
        <w:numPr>
          <w:ilvl w:val="0"/>
          <w:numId w:val="3"/>
        </w:numPr>
      </w:pPr>
      <w:r w:rsidRPr="00B246DA">
        <w:rPr>
          <w:b/>
          <w:bCs/>
        </w:rPr>
        <w:t>Survey-weighted crude model</w:t>
      </w:r>
      <w:r w:rsidRPr="00B246DA">
        <w:t>:</w:t>
      </w:r>
      <w:r w:rsidRPr="00B246DA">
        <w:br/>
        <w:t xml:space="preserve">OR = </w:t>
      </w:r>
      <w:r w:rsidRPr="00B246DA">
        <w:rPr>
          <w:b/>
          <w:bCs/>
        </w:rPr>
        <w:t>0.87</w:t>
      </w:r>
      <w:r w:rsidRPr="00B246DA">
        <w:t xml:space="preserve"> (95% CI: 0.46–1.65), </w:t>
      </w:r>
      <w:r w:rsidRPr="00B246DA">
        <w:rPr>
          <w:i/>
          <w:iCs/>
        </w:rPr>
        <w:t>p</w:t>
      </w:r>
      <w:r w:rsidRPr="00B246DA">
        <w:t xml:space="preserve"> = 0.664</w:t>
      </w:r>
    </w:p>
    <w:p w14:paraId="35BEAC76" w14:textId="77777777" w:rsidR="00795426" w:rsidRPr="00B246DA" w:rsidRDefault="00795426" w:rsidP="00795426">
      <w:pPr>
        <w:numPr>
          <w:ilvl w:val="0"/>
          <w:numId w:val="3"/>
        </w:numPr>
      </w:pPr>
      <w:r w:rsidRPr="00B246DA">
        <w:rPr>
          <w:b/>
          <w:bCs/>
        </w:rPr>
        <w:t>Survey-weighted adjusted model</w:t>
      </w:r>
      <w:r w:rsidRPr="00B246DA">
        <w:t>:</w:t>
      </w:r>
      <w:r w:rsidRPr="00B246DA">
        <w:br/>
        <w:t xml:space="preserve">OR = </w:t>
      </w:r>
      <w:r w:rsidRPr="00B246DA">
        <w:rPr>
          <w:b/>
          <w:bCs/>
        </w:rPr>
        <w:t>1.38</w:t>
      </w:r>
      <w:r w:rsidRPr="00B246DA">
        <w:t xml:space="preserve"> (95% CI: 0.54–3.53), </w:t>
      </w:r>
      <w:r w:rsidRPr="00B246DA">
        <w:rPr>
          <w:i/>
          <w:iCs/>
        </w:rPr>
        <w:t>p</w:t>
      </w:r>
      <w:r w:rsidRPr="00B246DA">
        <w:t xml:space="preserve"> = 0.39</w:t>
      </w:r>
    </w:p>
    <w:p w14:paraId="6EEAFF75" w14:textId="77777777" w:rsidR="00795426" w:rsidRPr="00B246DA" w:rsidRDefault="00795426" w:rsidP="00795426">
      <w:r w:rsidRPr="00B246DA">
        <w:t xml:space="preserve">The direction of the association changes after </w:t>
      </w:r>
      <w:proofErr w:type="gramStart"/>
      <w:r w:rsidRPr="00B246DA">
        <w:t>weighting</w:t>
      </w:r>
      <w:proofErr w:type="gramEnd"/>
      <w:r w:rsidRPr="00B246DA">
        <w:t xml:space="preserve"> and adjustment, indicating that </w:t>
      </w:r>
      <w:r w:rsidRPr="00B246DA">
        <w:rPr>
          <w:b/>
          <w:bCs/>
        </w:rPr>
        <w:t>confounding by demographic and socioeconomic factors</w:t>
      </w:r>
      <w:r w:rsidRPr="00B246DA">
        <w:t>, as well as the complex survey design, substantially influences effect estimates. Importantly, confidence intervals are wide and include the null, reinforcing the lack of a statistically reliable association.</w:t>
      </w:r>
    </w:p>
    <w:p w14:paraId="48572E7A" w14:textId="77777777" w:rsidR="00795426" w:rsidRDefault="00795426" w:rsidP="00795426"/>
    <w:p w14:paraId="539EEBA4" w14:textId="77777777" w:rsidR="00795426" w:rsidRPr="00B246DA" w:rsidRDefault="00795426" w:rsidP="00795426">
      <w:pPr>
        <w:rPr>
          <w:b/>
          <w:bCs/>
        </w:rPr>
      </w:pPr>
      <w:r w:rsidRPr="00B246DA">
        <w:rPr>
          <w:b/>
          <w:bCs/>
        </w:rPr>
        <w:t>SES-Stratified Analyses</w:t>
      </w:r>
    </w:p>
    <w:p w14:paraId="12C2CCF2" w14:textId="77777777" w:rsidR="00795426" w:rsidRPr="00B246DA" w:rsidRDefault="00795426" w:rsidP="00795426">
      <w:r w:rsidRPr="00B246DA">
        <w:lastRenderedPageBreak/>
        <w:t>To evaluate effect heterogeneity by socioeconomic status (SES), adjusted logistic regression models were fitted separately within SES strata.</w:t>
      </w:r>
    </w:p>
    <w:p w14:paraId="563D15A3" w14:textId="77777777" w:rsidR="00795426" w:rsidRPr="00B246DA" w:rsidRDefault="00795426" w:rsidP="00795426">
      <w:pPr>
        <w:numPr>
          <w:ilvl w:val="0"/>
          <w:numId w:val="4"/>
        </w:numPr>
      </w:pPr>
      <w:r w:rsidRPr="00B246DA">
        <w:rPr>
          <w:b/>
          <w:bCs/>
        </w:rPr>
        <w:t>Low SES</w:t>
      </w:r>
      <w:r w:rsidRPr="00B246DA">
        <w:t xml:space="preserve">: OR = </w:t>
      </w:r>
      <w:r w:rsidRPr="00B246DA">
        <w:rPr>
          <w:b/>
          <w:bCs/>
        </w:rPr>
        <w:t>0.68</w:t>
      </w:r>
      <w:r w:rsidRPr="00B246DA">
        <w:t xml:space="preserve"> (95% CI: 0.21–2.07), </w:t>
      </w:r>
      <w:r w:rsidRPr="00B246DA">
        <w:rPr>
          <w:i/>
          <w:iCs/>
        </w:rPr>
        <w:t>p</w:t>
      </w:r>
      <w:r w:rsidRPr="00B246DA">
        <w:t xml:space="preserve"> = 0.496</w:t>
      </w:r>
    </w:p>
    <w:p w14:paraId="0073F120" w14:textId="77777777" w:rsidR="00795426" w:rsidRPr="00B246DA" w:rsidRDefault="00795426" w:rsidP="00795426">
      <w:pPr>
        <w:numPr>
          <w:ilvl w:val="0"/>
          <w:numId w:val="4"/>
        </w:numPr>
      </w:pPr>
      <w:r w:rsidRPr="00B246DA">
        <w:rPr>
          <w:b/>
          <w:bCs/>
        </w:rPr>
        <w:t>Middle SES</w:t>
      </w:r>
      <w:r w:rsidRPr="00B246DA">
        <w:t xml:space="preserve">: OR = </w:t>
      </w:r>
      <w:r w:rsidRPr="00B246DA">
        <w:rPr>
          <w:b/>
          <w:bCs/>
        </w:rPr>
        <w:t>0.76</w:t>
      </w:r>
      <w:r w:rsidRPr="00B246DA">
        <w:t xml:space="preserve"> (95% CI: 0.41–1.38), </w:t>
      </w:r>
      <w:r w:rsidRPr="00B246DA">
        <w:rPr>
          <w:i/>
          <w:iCs/>
        </w:rPr>
        <w:t>p</w:t>
      </w:r>
      <w:r w:rsidRPr="00B246DA">
        <w:t xml:space="preserve"> = 0.376</w:t>
      </w:r>
    </w:p>
    <w:p w14:paraId="7AF6031B" w14:textId="77777777" w:rsidR="00795426" w:rsidRPr="00B246DA" w:rsidRDefault="00795426" w:rsidP="00795426">
      <w:pPr>
        <w:numPr>
          <w:ilvl w:val="0"/>
          <w:numId w:val="4"/>
        </w:numPr>
      </w:pPr>
      <w:r w:rsidRPr="00B246DA">
        <w:rPr>
          <w:b/>
          <w:bCs/>
        </w:rPr>
        <w:t>High SES</w:t>
      </w:r>
      <w:r w:rsidRPr="00B246DA">
        <w:t xml:space="preserve">: OR = </w:t>
      </w:r>
      <w:r w:rsidRPr="00B246DA">
        <w:rPr>
          <w:b/>
          <w:bCs/>
        </w:rPr>
        <w:t>1.18</w:t>
      </w:r>
      <w:r w:rsidRPr="00B246DA">
        <w:t xml:space="preserve"> (95% CI: 0.38–3.79), </w:t>
      </w:r>
      <w:r w:rsidRPr="00B246DA">
        <w:rPr>
          <w:i/>
          <w:iCs/>
        </w:rPr>
        <w:t>p</w:t>
      </w:r>
      <w:r w:rsidRPr="00B246DA">
        <w:t xml:space="preserve"> = 0.776</w:t>
      </w:r>
    </w:p>
    <w:p w14:paraId="4AE222A3" w14:textId="77777777" w:rsidR="00795426" w:rsidRDefault="00795426" w:rsidP="00795426">
      <w:r w:rsidRPr="00B246DA">
        <w:t xml:space="preserve">No SES stratum showed a statistically significant association. Although point estimates vary in direction, the </w:t>
      </w:r>
      <w:r w:rsidRPr="00B246DA">
        <w:rPr>
          <w:b/>
          <w:bCs/>
        </w:rPr>
        <w:t>wide confidence intervals reflect limited CHF events within strata</w:t>
      </w:r>
      <w:r w:rsidRPr="00B246DA">
        <w:t xml:space="preserve">, especially in the low- and high-SES groups. These findings provide </w:t>
      </w:r>
      <w:r w:rsidRPr="00B246DA">
        <w:rPr>
          <w:b/>
          <w:bCs/>
        </w:rPr>
        <w:t>no evidence of meaningful effect modification by SES</w:t>
      </w:r>
      <w:r w:rsidRPr="00B246DA">
        <w:t>.</w:t>
      </w:r>
    </w:p>
    <w:p w14:paraId="6057A7F2" w14:textId="77777777" w:rsidR="00795426" w:rsidRPr="00B246DA" w:rsidRDefault="00795426" w:rsidP="00795426"/>
    <w:p w14:paraId="1DD2DBDD" w14:textId="77777777" w:rsidR="00795426" w:rsidRPr="00B246DA" w:rsidRDefault="00795426" w:rsidP="00795426">
      <w:pPr>
        <w:rPr>
          <w:b/>
          <w:bCs/>
        </w:rPr>
      </w:pPr>
      <w:r w:rsidRPr="00B246DA">
        <w:rPr>
          <w:b/>
          <w:bCs/>
        </w:rPr>
        <w:t>Event Counts and Data Stability</w:t>
      </w:r>
    </w:p>
    <w:p w14:paraId="3D4964CF" w14:textId="77777777" w:rsidR="00795426" w:rsidRDefault="00795426" w:rsidP="00795426">
      <w:r w:rsidRPr="00B246DA">
        <w:t xml:space="preserve">In the full unweighted sample (N = 3,050), </w:t>
      </w:r>
      <w:r w:rsidRPr="00B246DA">
        <w:rPr>
          <w:b/>
          <w:bCs/>
        </w:rPr>
        <w:t>94 CHF events</w:t>
      </w:r>
      <w:r w:rsidRPr="00B246DA">
        <w:t xml:space="preserve"> were observed, with fewer events in SES-specific subgroups (18–60 events per stratum). Cell count checks revealed </w:t>
      </w:r>
      <w:r w:rsidRPr="00B246DA">
        <w:rPr>
          <w:b/>
          <w:bCs/>
        </w:rPr>
        <w:t>small numbers of CHF cases among high alcohol consumers</w:t>
      </w:r>
      <w:r w:rsidRPr="00B246DA">
        <w:t>, particularly in low- and high-SES groups, which likely contributes to the imprecision of stratified estimates.</w:t>
      </w:r>
    </w:p>
    <w:p w14:paraId="43AD2387" w14:textId="77777777" w:rsidR="00795426" w:rsidRPr="00B246DA" w:rsidRDefault="00795426" w:rsidP="00795426"/>
    <w:p w14:paraId="6438D313" w14:textId="77777777" w:rsidR="00795426" w:rsidRPr="00B246DA" w:rsidRDefault="00795426" w:rsidP="00795426">
      <w:pPr>
        <w:rPr>
          <w:b/>
          <w:bCs/>
        </w:rPr>
      </w:pPr>
      <w:r w:rsidRPr="00B246DA">
        <w:rPr>
          <w:b/>
          <w:bCs/>
        </w:rPr>
        <w:t>Covariate Diagnostics and Model Validity</w:t>
      </w:r>
    </w:p>
    <w:p w14:paraId="7306625B" w14:textId="77777777" w:rsidR="00795426" w:rsidRPr="00B246DA" w:rsidRDefault="00795426" w:rsidP="00795426">
      <w:pPr>
        <w:numPr>
          <w:ilvl w:val="0"/>
          <w:numId w:val="5"/>
        </w:numPr>
      </w:pPr>
      <w:r w:rsidRPr="00B246DA">
        <w:rPr>
          <w:b/>
          <w:bCs/>
        </w:rPr>
        <w:t>Multicollinearity</w:t>
      </w:r>
      <w:r w:rsidRPr="00B246DA">
        <w:t xml:space="preserve"> was minimal: all adjusted GVIF^(1/2Df) values were close to 1 (≤1.13), indicating no concerning collinearity among predictors.</w:t>
      </w:r>
    </w:p>
    <w:p w14:paraId="56F830D2" w14:textId="77777777" w:rsidR="00795426" w:rsidRPr="00B246DA" w:rsidRDefault="00795426" w:rsidP="00795426">
      <w:pPr>
        <w:numPr>
          <w:ilvl w:val="0"/>
          <w:numId w:val="5"/>
        </w:numPr>
      </w:pPr>
      <w:r w:rsidRPr="00B246DA">
        <w:rPr>
          <w:b/>
          <w:bCs/>
        </w:rPr>
        <w:t>Bivariate screening</w:t>
      </w:r>
      <w:r w:rsidRPr="00B246DA">
        <w:t xml:space="preserve"> supported inclusion of key covariates (age, sex, race, education, BMI category, smoking, physical activity, SES, and comorbidities). Dietary fiber intake showed no meaningful association with either exposure or outcome and was excluded from final models.</w:t>
      </w:r>
    </w:p>
    <w:p w14:paraId="0A75DA8F" w14:textId="77777777" w:rsidR="00795426" w:rsidRPr="00B246DA" w:rsidRDefault="00795426" w:rsidP="00795426">
      <w:pPr>
        <w:numPr>
          <w:ilvl w:val="0"/>
          <w:numId w:val="5"/>
        </w:numPr>
      </w:pPr>
      <w:r w:rsidRPr="00B246DA">
        <w:t>The composite comorbidity variable was strongly associated with CHF, justifying its inclusion as an important confounder.</w:t>
      </w:r>
    </w:p>
    <w:p w14:paraId="664E537F" w14:textId="77777777" w:rsidR="00795426" w:rsidRPr="00B246DA" w:rsidRDefault="00795426" w:rsidP="00795426">
      <w:pPr>
        <w:rPr>
          <w:b/>
          <w:bCs/>
        </w:rPr>
      </w:pPr>
      <w:r w:rsidRPr="00B246DA">
        <w:rPr>
          <w:b/>
          <w:bCs/>
        </w:rPr>
        <w:t>Overall Interpretation</w:t>
      </w:r>
    </w:p>
    <w:p w14:paraId="65E62E23" w14:textId="77777777" w:rsidR="00795426" w:rsidRPr="00B246DA" w:rsidRDefault="00795426" w:rsidP="00795426">
      <w:r w:rsidRPr="00B246DA">
        <w:t xml:space="preserve">Across unweighted, survey-weighted, and SES-stratified models, </w:t>
      </w:r>
      <w:r w:rsidRPr="00B246DA">
        <w:rPr>
          <w:b/>
          <w:bCs/>
        </w:rPr>
        <w:t>high alcohol consumption was not significantly associated with CHF</w:t>
      </w:r>
      <w:r w:rsidRPr="00B246DA">
        <w:t xml:space="preserve">. Apparent protective associations in crude models diminished or reversed after adjustment and survey weighting, suggesting that </w:t>
      </w:r>
      <w:r w:rsidRPr="00B246DA">
        <w:rPr>
          <w:b/>
          <w:bCs/>
        </w:rPr>
        <w:t xml:space="preserve">confounding and population structure explain much of the </w:t>
      </w:r>
      <w:r w:rsidRPr="00B246DA">
        <w:rPr>
          <w:b/>
          <w:bCs/>
        </w:rPr>
        <w:lastRenderedPageBreak/>
        <w:t>crude relationship</w:t>
      </w:r>
      <w:r w:rsidRPr="00B246DA">
        <w:t xml:space="preserve">. The absence of significant SES-specific effects further indicates </w:t>
      </w:r>
      <w:r w:rsidRPr="00B246DA">
        <w:rPr>
          <w:b/>
          <w:bCs/>
        </w:rPr>
        <w:t>no clear heterogeneity by socioeconomic status</w:t>
      </w:r>
      <w:r w:rsidRPr="00B246DA">
        <w:t>.</w:t>
      </w:r>
    </w:p>
    <w:p w14:paraId="4A84F059" w14:textId="77777777" w:rsidR="00795426" w:rsidRPr="00B246DA" w:rsidRDefault="00795426" w:rsidP="00795426">
      <w:r w:rsidRPr="00B246DA">
        <w:t xml:space="preserve">These findings highlight the importance of </w:t>
      </w:r>
      <w:r w:rsidRPr="00B246DA">
        <w:rPr>
          <w:b/>
          <w:bCs/>
        </w:rPr>
        <w:t>complex survey methods and careful covariate control</w:t>
      </w:r>
      <w:r w:rsidRPr="00B246DA">
        <w:t xml:space="preserve"> when evaluating alcohol–cardiovascular relationships in population-based data and caution against interpreting crude associations as causal.</w:t>
      </w:r>
    </w:p>
    <w:p w14:paraId="690554EE" w14:textId="77777777" w:rsidR="00795426" w:rsidRDefault="00795426" w:rsidP="00795426">
      <w:r>
        <w:br w:type="page"/>
      </w:r>
    </w:p>
    <w:p w14:paraId="0C981D0F" w14:textId="77777777" w:rsidR="00795426" w:rsidRDefault="00795426" w:rsidP="00795426">
      <w:r>
        <w:lastRenderedPageBreak/>
        <w:t>Some results:</w:t>
      </w:r>
    </w:p>
    <w:p w14:paraId="429F7FD2" w14:textId="77777777" w:rsidR="00795426" w:rsidRDefault="00795426" w:rsidP="00795426">
      <w:pPr>
        <w:pStyle w:val="ListParagraph"/>
        <w:numPr>
          <w:ilvl w:val="1"/>
          <w:numId w:val="1"/>
        </w:numPr>
      </w:pPr>
      <w:r>
        <w:t>Variable summaries</w:t>
      </w:r>
    </w:p>
    <w:p w14:paraId="7BF77E0B" w14:textId="77777777" w:rsidR="00795426" w:rsidRDefault="00795426" w:rsidP="00795426">
      <w:r w:rsidRPr="00F81AB0">
        <w:rPr>
          <w:noProof/>
        </w:rPr>
        <w:drawing>
          <wp:inline distT="0" distB="0" distL="0" distR="0" wp14:anchorId="366A7D5A" wp14:editId="2E57B5A5">
            <wp:extent cx="3953427" cy="2953162"/>
            <wp:effectExtent l="0" t="0" r="9525" b="0"/>
            <wp:docPr id="6577806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0635" name="Picture 1" descr="A screenshot of a computer program&#10;&#10;AI-generated content may be incorrect."/>
                    <pic:cNvPicPr/>
                  </pic:nvPicPr>
                  <pic:blipFill>
                    <a:blip r:embed="rId5"/>
                    <a:stretch>
                      <a:fillRect/>
                    </a:stretch>
                  </pic:blipFill>
                  <pic:spPr>
                    <a:xfrm>
                      <a:off x="0" y="0"/>
                      <a:ext cx="3953427" cy="2953162"/>
                    </a:xfrm>
                    <a:prstGeom prst="rect">
                      <a:avLst/>
                    </a:prstGeom>
                  </pic:spPr>
                </pic:pic>
              </a:graphicData>
            </a:graphic>
          </wp:inline>
        </w:drawing>
      </w:r>
    </w:p>
    <w:p w14:paraId="60AB5545" w14:textId="77777777" w:rsidR="00795426" w:rsidRDefault="00795426" w:rsidP="00795426"/>
    <w:p w14:paraId="27F319DA" w14:textId="77777777" w:rsidR="00795426" w:rsidRDefault="00795426" w:rsidP="00795426">
      <w:pPr>
        <w:pStyle w:val="ListParagraph"/>
        <w:numPr>
          <w:ilvl w:val="1"/>
          <w:numId w:val="1"/>
        </w:numPr>
      </w:pPr>
      <w:r>
        <w:t xml:space="preserve">VIF check for multicollinearity  </w:t>
      </w:r>
    </w:p>
    <w:p w14:paraId="3433753F" w14:textId="77777777" w:rsidR="00795426" w:rsidRDefault="00795426" w:rsidP="00795426">
      <w:r w:rsidRPr="00F81AB0">
        <w:rPr>
          <w:noProof/>
        </w:rPr>
        <w:drawing>
          <wp:inline distT="0" distB="0" distL="0" distR="0" wp14:anchorId="75E04D82" wp14:editId="390A7AE0">
            <wp:extent cx="3200847" cy="1848108"/>
            <wp:effectExtent l="0" t="0" r="0" b="0"/>
            <wp:docPr id="21404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7534" name="Picture 1"/>
                    <pic:cNvPicPr/>
                  </pic:nvPicPr>
                  <pic:blipFill>
                    <a:blip r:embed="rId6"/>
                    <a:stretch>
                      <a:fillRect/>
                    </a:stretch>
                  </pic:blipFill>
                  <pic:spPr>
                    <a:xfrm>
                      <a:off x="0" y="0"/>
                      <a:ext cx="3200847" cy="1848108"/>
                    </a:xfrm>
                    <a:prstGeom prst="rect">
                      <a:avLst/>
                    </a:prstGeom>
                  </pic:spPr>
                </pic:pic>
              </a:graphicData>
            </a:graphic>
          </wp:inline>
        </w:drawing>
      </w:r>
    </w:p>
    <w:p w14:paraId="3525BC71" w14:textId="77777777" w:rsidR="00795426" w:rsidRDefault="00795426" w:rsidP="00795426"/>
    <w:p w14:paraId="03BB0AA1" w14:textId="77777777" w:rsidR="00795426" w:rsidRDefault="00795426" w:rsidP="00795426">
      <w:pPr>
        <w:pStyle w:val="ListParagraph"/>
        <w:numPr>
          <w:ilvl w:val="1"/>
          <w:numId w:val="1"/>
        </w:numPr>
      </w:pPr>
      <w:r>
        <w:t>Model results</w:t>
      </w:r>
    </w:p>
    <w:p w14:paraId="39937238" w14:textId="77777777" w:rsidR="00795426" w:rsidRDefault="00795426" w:rsidP="00795426">
      <w:r w:rsidRPr="00F81AB0">
        <w:rPr>
          <w:noProof/>
        </w:rPr>
        <w:lastRenderedPageBreak/>
        <w:drawing>
          <wp:inline distT="0" distB="0" distL="0" distR="0" wp14:anchorId="6218A695" wp14:editId="66BB9FB5">
            <wp:extent cx="5943600" cy="1603375"/>
            <wp:effectExtent l="0" t="0" r="0" b="0"/>
            <wp:docPr id="18324965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96596" name="Picture 1" descr="A screenshot of a computer code&#10;&#10;AI-generated content may be incorrect."/>
                    <pic:cNvPicPr/>
                  </pic:nvPicPr>
                  <pic:blipFill>
                    <a:blip r:embed="rId7"/>
                    <a:stretch>
                      <a:fillRect/>
                    </a:stretch>
                  </pic:blipFill>
                  <pic:spPr>
                    <a:xfrm>
                      <a:off x="0" y="0"/>
                      <a:ext cx="5943600" cy="1603375"/>
                    </a:xfrm>
                    <a:prstGeom prst="rect">
                      <a:avLst/>
                    </a:prstGeom>
                  </pic:spPr>
                </pic:pic>
              </a:graphicData>
            </a:graphic>
          </wp:inline>
        </w:drawing>
      </w:r>
    </w:p>
    <w:p w14:paraId="68919CDE" w14:textId="77777777" w:rsidR="00795426" w:rsidRDefault="00795426" w:rsidP="00795426"/>
    <w:p w14:paraId="353BD846" w14:textId="77777777" w:rsidR="00795426" w:rsidRDefault="00795426" w:rsidP="00795426">
      <w:pPr>
        <w:pStyle w:val="ListParagraph"/>
        <w:numPr>
          <w:ilvl w:val="1"/>
          <w:numId w:val="1"/>
        </w:numPr>
      </w:pPr>
      <w:r>
        <w:t>Result of a causal machine learning</w:t>
      </w:r>
    </w:p>
    <w:p w14:paraId="53E4D749" w14:textId="77777777" w:rsidR="00795426" w:rsidRDefault="00795426" w:rsidP="00795426">
      <w:r>
        <w:rPr>
          <w:noProof/>
        </w:rPr>
        <w:drawing>
          <wp:inline distT="0" distB="0" distL="0" distR="0" wp14:anchorId="46EACD14" wp14:editId="38CA4871">
            <wp:extent cx="6052430" cy="3342640"/>
            <wp:effectExtent l="0" t="0" r="5715" b="0"/>
            <wp:docPr id="1587132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4075" cy="3349072"/>
                    </a:xfrm>
                    <a:prstGeom prst="rect">
                      <a:avLst/>
                    </a:prstGeom>
                    <a:noFill/>
                  </pic:spPr>
                </pic:pic>
              </a:graphicData>
            </a:graphic>
          </wp:inline>
        </w:drawing>
      </w:r>
    </w:p>
    <w:p w14:paraId="0D23EDE7" w14:textId="77777777" w:rsidR="00795426" w:rsidRDefault="00795426" w:rsidP="00795426">
      <w:r>
        <w:t xml:space="preserve">Result explanation </w:t>
      </w:r>
    </w:p>
    <w:p w14:paraId="7FBAE0CB" w14:textId="77777777" w:rsidR="008752B0" w:rsidRDefault="008752B0"/>
    <w:sectPr w:rsidR="00875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1FCD"/>
    <w:multiLevelType w:val="multilevel"/>
    <w:tmpl w:val="862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D4547"/>
    <w:multiLevelType w:val="multilevel"/>
    <w:tmpl w:val="EDD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82B"/>
    <w:multiLevelType w:val="multilevel"/>
    <w:tmpl w:val="649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E26DB"/>
    <w:multiLevelType w:val="multilevel"/>
    <w:tmpl w:val="AEF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65796"/>
    <w:multiLevelType w:val="multilevel"/>
    <w:tmpl w:val="F7647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8265">
    <w:abstractNumId w:val="4"/>
  </w:num>
  <w:num w:numId="2" w16cid:durableId="1985573859">
    <w:abstractNumId w:val="3"/>
  </w:num>
  <w:num w:numId="3" w16cid:durableId="813178888">
    <w:abstractNumId w:val="1"/>
  </w:num>
  <w:num w:numId="4" w16cid:durableId="193079639">
    <w:abstractNumId w:val="0"/>
  </w:num>
  <w:num w:numId="5" w16cid:durableId="368995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26"/>
    <w:rsid w:val="0012395F"/>
    <w:rsid w:val="00295C00"/>
    <w:rsid w:val="00474C15"/>
    <w:rsid w:val="00485DF0"/>
    <w:rsid w:val="00491EBA"/>
    <w:rsid w:val="00795426"/>
    <w:rsid w:val="008752B0"/>
    <w:rsid w:val="00A57F43"/>
    <w:rsid w:val="00A75838"/>
    <w:rsid w:val="00A96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5C0A"/>
  <w15:chartTrackingRefBased/>
  <w15:docId w15:val="{05121737-16B1-4EBE-9E47-49BE04F2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26"/>
  </w:style>
  <w:style w:type="paragraph" w:styleId="Heading1">
    <w:name w:val="heading 1"/>
    <w:basedOn w:val="Normal"/>
    <w:next w:val="Normal"/>
    <w:link w:val="Heading1Char"/>
    <w:uiPriority w:val="9"/>
    <w:qFormat/>
    <w:rsid w:val="00795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426"/>
    <w:rPr>
      <w:rFonts w:eastAsiaTheme="majorEastAsia" w:cstheme="majorBidi"/>
      <w:color w:val="272727" w:themeColor="text1" w:themeTint="D8"/>
    </w:rPr>
  </w:style>
  <w:style w:type="paragraph" w:styleId="Title">
    <w:name w:val="Title"/>
    <w:basedOn w:val="Normal"/>
    <w:next w:val="Normal"/>
    <w:link w:val="TitleChar"/>
    <w:uiPriority w:val="10"/>
    <w:qFormat/>
    <w:rsid w:val="00795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426"/>
    <w:pPr>
      <w:spacing w:before="160"/>
      <w:jc w:val="center"/>
    </w:pPr>
    <w:rPr>
      <w:i/>
      <w:iCs/>
      <w:color w:val="404040" w:themeColor="text1" w:themeTint="BF"/>
    </w:rPr>
  </w:style>
  <w:style w:type="character" w:customStyle="1" w:styleId="QuoteChar">
    <w:name w:val="Quote Char"/>
    <w:basedOn w:val="DefaultParagraphFont"/>
    <w:link w:val="Quote"/>
    <w:uiPriority w:val="29"/>
    <w:rsid w:val="00795426"/>
    <w:rPr>
      <w:i/>
      <w:iCs/>
      <w:color w:val="404040" w:themeColor="text1" w:themeTint="BF"/>
    </w:rPr>
  </w:style>
  <w:style w:type="paragraph" w:styleId="ListParagraph">
    <w:name w:val="List Paragraph"/>
    <w:basedOn w:val="Normal"/>
    <w:uiPriority w:val="34"/>
    <w:qFormat/>
    <w:rsid w:val="00795426"/>
    <w:pPr>
      <w:ind w:left="720"/>
      <w:contextualSpacing/>
    </w:pPr>
  </w:style>
  <w:style w:type="character" w:styleId="IntenseEmphasis">
    <w:name w:val="Intense Emphasis"/>
    <w:basedOn w:val="DefaultParagraphFont"/>
    <w:uiPriority w:val="21"/>
    <w:qFormat/>
    <w:rsid w:val="00795426"/>
    <w:rPr>
      <w:i/>
      <w:iCs/>
      <w:color w:val="0F4761" w:themeColor="accent1" w:themeShade="BF"/>
    </w:rPr>
  </w:style>
  <w:style w:type="paragraph" w:styleId="IntenseQuote">
    <w:name w:val="Intense Quote"/>
    <w:basedOn w:val="Normal"/>
    <w:next w:val="Normal"/>
    <w:link w:val="IntenseQuoteChar"/>
    <w:uiPriority w:val="30"/>
    <w:qFormat/>
    <w:rsid w:val="00795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426"/>
    <w:rPr>
      <w:i/>
      <w:iCs/>
      <w:color w:val="0F4761" w:themeColor="accent1" w:themeShade="BF"/>
    </w:rPr>
  </w:style>
  <w:style w:type="character" w:styleId="IntenseReference">
    <w:name w:val="Intense Reference"/>
    <w:basedOn w:val="DefaultParagraphFont"/>
    <w:uiPriority w:val="32"/>
    <w:qFormat/>
    <w:rsid w:val="00795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3500</Characters>
  <Application>Microsoft Office Word</Application>
  <DocSecurity>0</DocSecurity>
  <Lines>85</Lines>
  <Paragraphs>52</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Song</dc:creator>
  <cp:keywords/>
  <dc:description/>
  <cp:lastModifiedBy>Yu Song</cp:lastModifiedBy>
  <cp:revision>1</cp:revision>
  <dcterms:created xsi:type="dcterms:W3CDTF">2026-02-24T18:14:00Z</dcterms:created>
  <dcterms:modified xsi:type="dcterms:W3CDTF">2026-02-24T18:15:00Z</dcterms:modified>
</cp:coreProperties>
</file>