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58B0DE">
      <w:pPr>
        <w:keepNext w:val="0"/>
        <w:keepLines w:val="0"/>
        <w:pageBreakBefore w:val="0"/>
        <w:widowControl w:val="0"/>
        <w:kinsoku/>
        <w:wordWrap/>
        <w:overflowPunct/>
        <w:topLinePunct w:val="0"/>
        <w:autoSpaceDE/>
        <w:autoSpaceDN/>
        <w:bidi w:val="0"/>
        <w:adjustRightInd w:val="0"/>
        <w:snapToGrid w:val="0"/>
        <w:spacing w:line="240" w:lineRule="auto"/>
        <w:ind w:firstLine="402" w:firstLineChars="100"/>
        <w:jc w:val="center"/>
        <w:textAlignment w:val="auto"/>
        <w:rPr>
          <w:rFonts w:hint="eastAsia"/>
          <w:b/>
          <w:bCs/>
          <w:sz w:val="40"/>
          <w:szCs w:val="40"/>
          <w:lang w:val="en-US" w:eastAsia="zh-CN"/>
        </w:rPr>
      </w:pPr>
      <w:r>
        <w:rPr>
          <w:rFonts w:hint="eastAsia"/>
          <w:b/>
          <w:bCs/>
          <w:sz w:val="40"/>
          <w:szCs w:val="40"/>
          <w:lang w:val="en-US" w:eastAsia="zh-CN"/>
        </w:rPr>
        <w:t>实践作业要求</w:t>
      </w:r>
    </w:p>
    <w:p w14:paraId="578968CE">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仿宋" w:hAnsi="仿宋" w:eastAsia="仿宋" w:cs="仿宋"/>
          <w:b/>
          <w:bCs/>
          <w:sz w:val="32"/>
          <w:szCs w:val="32"/>
          <w:lang w:val="en-US" w:eastAsia="zh-CN"/>
        </w:rPr>
      </w:pPr>
    </w:p>
    <w:p w14:paraId="5D1DD669">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项目一：我眼中的新时代</w:t>
      </w:r>
    </w:p>
    <w:p w14:paraId="5831AD09">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rFonts w:hint="default" w:ascii="仿宋" w:hAnsi="仿宋" w:eastAsia="仿宋" w:cs="仿宋"/>
          <w:b/>
          <w:bCs/>
          <w:sz w:val="32"/>
          <w:szCs w:val="32"/>
          <w:lang w:val="en-US" w:eastAsia="zh-CN"/>
        </w:rPr>
      </w:pPr>
      <w:r>
        <w:rPr>
          <w:rFonts w:hint="eastAsia" w:ascii="仿宋" w:hAnsi="仿宋" w:eastAsia="仿宋" w:cs="仿宋"/>
          <w:sz w:val="32"/>
          <w:szCs w:val="32"/>
          <w:lang w:val="en-US" w:eastAsia="zh-CN"/>
        </w:rPr>
        <w:t>结合生活实际进行调研，自拟题目。探索、发现、记录新时代取得的巨大变化和辉煌成就，畅谈个人所思所悟，形</w:t>
      </w:r>
      <w:r>
        <w:rPr>
          <w:rFonts w:hint="eastAsia" w:ascii="仿宋" w:hAnsi="仿宋" w:eastAsia="仿宋" w:cs="仿宋"/>
          <w:b w:val="0"/>
          <w:bCs w:val="0"/>
          <w:sz w:val="32"/>
          <w:szCs w:val="32"/>
          <w:lang w:val="en-US" w:eastAsia="zh-CN"/>
        </w:rPr>
        <w:t>成调研报告</w:t>
      </w:r>
      <w:r>
        <w:rPr>
          <w:rFonts w:hint="eastAsia" w:ascii="仿宋" w:hAnsi="仿宋" w:eastAsia="仿宋" w:cs="仿宋"/>
          <w:sz w:val="32"/>
          <w:szCs w:val="32"/>
          <w:lang w:val="en-US" w:eastAsia="zh-CN"/>
        </w:rPr>
        <w:t>。明确调研主题，可以是新时代的科技发展、环境变化、社会风貌的变化等，详细描述调研的过程和方法，比如你是怎么收集资料的，都去了哪些地方调研或做了哪些访谈。分析调研结果，用数据和事实说话，把新时代的各种变化和特点展现出来。加入自己的思考和观点，这样才能更好体现出“我眼中”的视角。语言得通顺流畅，结构清晰合理，让读者能一目了然地看到你的调研成果。</w:t>
      </w:r>
    </w:p>
    <w:p w14:paraId="2C9F3A36">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b/>
          <w:bCs/>
          <w:sz w:val="32"/>
          <w:szCs w:val="40"/>
          <w:lang w:val="en-US" w:eastAsia="zh-CN"/>
        </w:rPr>
      </w:pPr>
    </w:p>
    <w:p w14:paraId="242C221D">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仿宋" w:hAnsi="仿宋" w:eastAsia="仿宋" w:cs="仿宋"/>
          <w:b/>
          <w:bCs/>
          <w:sz w:val="32"/>
          <w:szCs w:val="40"/>
          <w:lang w:val="en-US" w:eastAsia="zh-CN"/>
        </w:rPr>
      </w:pPr>
      <w:r>
        <w:rPr>
          <w:rFonts w:hint="eastAsia" w:ascii="仿宋" w:hAnsi="仿宋" w:eastAsia="仿宋" w:cs="仿宋"/>
          <w:b/>
          <w:bCs/>
          <w:sz w:val="32"/>
          <w:szCs w:val="40"/>
          <w:lang w:val="en-US" w:eastAsia="zh-CN"/>
        </w:rPr>
        <w:t>调研报告（交打印的纸质版）：</w:t>
      </w:r>
    </w:p>
    <w:p w14:paraId="28704F3F">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仿宋" w:hAnsi="仿宋" w:eastAsia="仿宋" w:cs="仿宋"/>
          <w:sz w:val="32"/>
          <w:szCs w:val="40"/>
          <w:lang w:val="en-US" w:eastAsia="zh-CN"/>
        </w:rPr>
      </w:pPr>
      <w:r>
        <w:rPr>
          <w:rFonts w:hint="eastAsia" w:ascii="仿宋" w:hAnsi="仿宋" w:eastAsia="仿宋" w:cs="仿宋"/>
          <w:sz w:val="32"/>
          <w:szCs w:val="40"/>
          <w:lang w:val="en-US" w:eastAsia="zh-CN"/>
        </w:rPr>
        <w:t>1.</w:t>
      </w:r>
      <w:r>
        <w:rPr>
          <w:rFonts w:hint="eastAsia" w:ascii="仿宋" w:hAnsi="仿宋" w:eastAsia="仿宋" w:cs="仿宋"/>
          <w:b/>
          <w:bCs/>
          <w:sz w:val="32"/>
          <w:szCs w:val="40"/>
          <w:lang w:val="en-US" w:eastAsia="zh-CN"/>
        </w:rPr>
        <w:t>封面</w:t>
      </w:r>
      <w:r>
        <w:rPr>
          <w:rFonts w:hint="eastAsia" w:ascii="仿宋" w:hAnsi="仿宋" w:eastAsia="仿宋" w:cs="仿宋"/>
          <w:sz w:val="32"/>
          <w:szCs w:val="40"/>
          <w:lang w:val="en-US" w:eastAsia="zh-CN"/>
        </w:rPr>
        <w:t>A4</w:t>
      </w:r>
      <w:r>
        <w:rPr>
          <w:rFonts w:hint="eastAsia" w:ascii="仿宋" w:hAnsi="仿宋" w:eastAsia="仿宋" w:cs="仿宋"/>
          <w:b/>
          <w:bCs/>
          <w:sz w:val="32"/>
          <w:szCs w:val="40"/>
          <w:lang w:val="en-US" w:eastAsia="zh-CN"/>
        </w:rPr>
        <w:t>单面</w:t>
      </w:r>
      <w:r>
        <w:rPr>
          <w:rFonts w:hint="eastAsia" w:ascii="仿宋" w:hAnsi="仿宋" w:eastAsia="仿宋" w:cs="仿宋"/>
          <w:sz w:val="32"/>
          <w:szCs w:val="40"/>
          <w:lang w:val="en-US" w:eastAsia="zh-CN"/>
        </w:rPr>
        <w:t>打印（见附件）</w:t>
      </w:r>
    </w:p>
    <w:p w14:paraId="04F64DA7">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仿宋" w:hAnsi="仿宋" w:eastAsia="仿宋" w:cs="仿宋"/>
          <w:sz w:val="32"/>
          <w:szCs w:val="40"/>
          <w:lang w:val="en-US" w:eastAsia="zh-CN"/>
        </w:rPr>
      </w:pPr>
      <w:r>
        <w:rPr>
          <w:rFonts w:hint="eastAsia" w:ascii="仿宋" w:hAnsi="仿宋" w:eastAsia="仿宋" w:cs="仿宋"/>
          <w:sz w:val="32"/>
          <w:szCs w:val="40"/>
          <w:lang w:val="en-US" w:eastAsia="zh-CN"/>
        </w:rPr>
        <w:t>2.</w:t>
      </w:r>
      <w:r>
        <w:rPr>
          <w:rFonts w:hint="eastAsia" w:ascii="仿宋" w:hAnsi="仿宋" w:eastAsia="仿宋" w:cs="仿宋"/>
          <w:b/>
          <w:bCs/>
          <w:sz w:val="32"/>
          <w:szCs w:val="40"/>
          <w:lang w:val="en-US" w:eastAsia="zh-CN"/>
        </w:rPr>
        <w:t>正文</w:t>
      </w:r>
      <w:r>
        <w:rPr>
          <w:rFonts w:hint="eastAsia" w:ascii="仿宋" w:hAnsi="仿宋" w:eastAsia="仿宋" w:cs="仿宋"/>
          <w:sz w:val="32"/>
          <w:szCs w:val="40"/>
          <w:lang w:val="en-US" w:eastAsia="zh-CN"/>
        </w:rPr>
        <w:t>A4</w:t>
      </w:r>
      <w:r>
        <w:rPr>
          <w:rFonts w:hint="eastAsia" w:ascii="仿宋" w:hAnsi="仿宋" w:eastAsia="仿宋" w:cs="仿宋"/>
          <w:b/>
          <w:bCs/>
          <w:sz w:val="32"/>
          <w:szCs w:val="40"/>
          <w:lang w:val="en-US" w:eastAsia="zh-CN"/>
        </w:rPr>
        <w:t>双面</w:t>
      </w:r>
      <w:r>
        <w:rPr>
          <w:rFonts w:hint="eastAsia" w:ascii="仿宋" w:hAnsi="仿宋" w:eastAsia="仿宋" w:cs="仿宋"/>
          <w:sz w:val="32"/>
          <w:szCs w:val="40"/>
          <w:lang w:val="en-US" w:eastAsia="zh-CN"/>
        </w:rPr>
        <w:t>打印内容，统一格式（见附件）</w:t>
      </w:r>
    </w:p>
    <w:p w14:paraId="40020DF3">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仿宋" w:hAnsi="仿宋" w:eastAsia="仿宋" w:cs="仿宋"/>
          <w:b/>
          <w:bCs/>
          <w:sz w:val="32"/>
          <w:szCs w:val="40"/>
          <w:lang w:val="en-US" w:eastAsia="zh-CN"/>
        </w:rPr>
      </w:pPr>
      <w:r>
        <w:rPr>
          <w:rFonts w:hint="eastAsia" w:ascii="仿宋" w:hAnsi="仿宋" w:eastAsia="仿宋" w:cs="仿宋"/>
          <w:sz w:val="32"/>
          <w:szCs w:val="40"/>
          <w:lang w:val="en-US" w:eastAsia="zh-CN"/>
        </w:rPr>
        <w:t>3.正文不少于</w:t>
      </w:r>
      <w:r>
        <w:rPr>
          <w:rFonts w:hint="eastAsia" w:ascii="仿宋" w:hAnsi="仿宋" w:eastAsia="仿宋" w:cs="仿宋"/>
          <w:b/>
          <w:bCs/>
          <w:sz w:val="32"/>
          <w:szCs w:val="40"/>
          <w:lang w:val="en-US" w:eastAsia="zh-CN"/>
        </w:rPr>
        <w:t>2000字</w:t>
      </w:r>
    </w:p>
    <w:p w14:paraId="7EED8DE9">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仿宋" w:hAnsi="仿宋" w:eastAsia="仿宋" w:cs="仿宋"/>
          <w:sz w:val="32"/>
          <w:szCs w:val="40"/>
          <w:lang w:val="en-US" w:eastAsia="zh-CN"/>
        </w:rPr>
      </w:pPr>
      <w:r>
        <w:rPr>
          <w:rFonts w:hint="eastAsia" w:ascii="仿宋" w:hAnsi="仿宋" w:eastAsia="仿宋" w:cs="仿宋"/>
          <w:sz w:val="32"/>
          <w:szCs w:val="40"/>
          <w:lang w:val="en-US" w:eastAsia="zh-CN"/>
        </w:rPr>
        <w:t>4.侧钉两个钉</w:t>
      </w:r>
    </w:p>
    <w:p w14:paraId="4072A61B">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仿宋" w:hAnsi="仿宋" w:eastAsia="仿宋" w:cs="仿宋"/>
          <w:sz w:val="32"/>
          <w:szCs w:val="40"/>
          <w:lang w:val="en-US" w:eastAsia="zh-CN"/>
        </w:rPr>
      </w:pPr>
      <w:r>
        <w:rPr>
          <w:rFonts w:hint="eastAsia" w:ascii="仿宋" w:hAnsi="仿宋" w:eastAsia="仿宋" w:cs="仿宋"/>
          <w:sz w:val="32"/>
          <w:szCs w:val="40"/>
          <w:lang w:val="en-US" w:eastAsia="zh-CN"/>
        </w:rPr>
        <w:t>5.</w:t>
      </w:r>
      <w:r>
        <w:rPr>
          <w:rFonts w:hint="eastAsia" w:ascii="仿宋" w:hAnsi="仿宋" w:eastAsia="仿宋" w:cs="仿宋"/>
          <w:b/>
          <w:bCs/>
          <w:sz w:val="32"/>
          <w:szCs w:val="32"/>
          <w:lang w:val="en-US" w:eastAsia="zh-CN"/>
        </w:rPr>
        <w:t>禁止抄袭。</w:t>
      </w:r>
      <w:r>
        <w:rPr>
          <w:rFonts w:hint="eastAsia" w:ascii="仿宋" w:hAnsi="仿宋" w:eastAsia="仿宋" w:cs="仿宋"/>
          <w:sz w:val="32"/>
          <w:szCs w:val="40"/>
          <w:lang w:val="en-US" w:eastAsia="zh-CN"/>
        </w:rPr>
        <w:t>要求充分体现调研过程，内容丰富、有吸引力，要求</w:t>
      </w:r>
      <w:r>
        <w:rPr>
          <w:rFonts w:hint="eastAsia" w:ascii="仿宋" w:hAnsi="仿宋" w:eastAsia="仿宋" w:cs="仿宋"/>
          <w:b/>
          <w:bCs/>
          <w:sz w:val="32"/>
          <w:szCs w:val="40"/>
          <w:lang w:val="en-US" w:eastAsia="zh-CN"/>
        </w:rPr>
        <w:t>必须</w:t>
      </w:r>
      <w:r>
        <w:rPr>
          <w:rFonts w:hint="eastAsia" w:ascii="仿宋" w:hAnsi="仿宋" w:eastAsia="仿宋" w:cs="仿宋"/>
          <w:sz w:val="32"/>
          <w:szCs w:val="40"/>
          <w:lang w:val="en-US" w:eastAsia="zh-CN"/>
        </w:rPr>
        <w:t>添加有关调研的</w:t>
      </w:r>
      <w:r>
        <w:rPr>
          <w:rFonts w:hint="eastAsia" w:ascii="仿宋" w:hAnsi="仿宋" w:eastAsia="仿宋" w:cs="仿宋"/>
          <w:b/>
          <w:bCs/>
          <w:sz w:val="32"/>
          <w:szCs w:val="40"/>
          <w:lang w:val="en-US" w:eastAsia="zh-CN"/>
        </w:rPr>
        <w:t>照片、</w:t>
      </w:r>
      <w:r>
        <w:rPr>
          <w:rFonts w:hint="eastAsia" w:ascii="仿宋" w:hAnsi="仿宋" w:eastAsia="仿宋" w:cs="仿宋"/>
          <w:b w:val="0"/>
          <w:bCs w:val="0"/>
          <w:sz w:val="32"/>
          <w:szCs w:val="40"/>
          <w:lang w:val="en-US" w:eastAsia="zh-CN"/>
        </w:rPr>
        <w:t>表格、数据</w:t>
      </w:r>
      <w:r>
        <w:rPr>
          <w:rFonts w:hint="eastAsia" w:ascii="仿宋" w:hAnsi="仿宋" w:eastAsia="仿宋" w:cs="仿宋"/>
          <w:sz w:val="32"/>
          <w:szCs w:val="40"/>
          <w:lang w:val="en-US" w:eastAsia="zh-CN"/>
        </w:rPr>
        <w:t>图等。</w:t>
      </w:r>
    </w:p>
    <w:p w14:paraId="563BC0A1">
      <w:r>
        <w:br w:type="page"/>
      </w:r>
    </w:p>
    <w:p w14:paraId="5580B3DE">
      <w:pPr>
        <w:keepNext w:val="0"/>
        <w:keepLines w:val="0"/>
        <w:pageBreakBefore w:val="0"/>
        <w:widowControl w:val="0"/>
        <w:kinsoku/>
        <w:wordWrap/>
        <w:overflowPunct/>
        <w:topLinePunct w:val="0"/>
        <w:autoSpaceDE/>
        <w:autoSpaceDN/>
        <w:bidi w:val="0"/>
        <w:adjustRightInd w:val="0"/>
        <w:snapToGrid w:val="0"/>
        <w:spacing w:line="480" w:lineRule="auto"/>
        <w:jc w:val="center"/>
        <w:textAlignment w:val="auto"/>
        <w:rPr>
          <w:rFonts w:hint="eastAsia" w:ascii="宋体" w:hAnsi="宋体"/>
          <w:b/>
          <w:bCs/>
          <w:sz w:val="44"/>
          <w:szCs w:val="44"/>
          <w:lang w:val="en-US" w:eastAsia="zh-CN"/>
        </w:rPr>
      </w:pPr>
      <w:r>
        <w:drawing>
          <wp:inline distT="0" distB="0" distL="114300" distR="114300">
            <wp:extent cx="5854700" cy="1786890"/>
            <wp:effectExtent l="0" t="0" r="0" b="0"/>
            <wp:docPr id="10" name="图片 10" descr="校徽+文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校徽+文字"/>
                    <pic:cNvPicPr>
                      <a:picLocks noChangeAspect="1"/>
                    </pic:cNvPicPr>
                  </pic:nvPicPr>
                  <pic:blipFill>
                    <a:blip r:embed="rId7"/>
                    <a:srcRect l="4948" t="15506" b="26003"/>
                    <a:stretch>
                      <a:fillRect/>
                    </a:stretch>
                  </pic:blipFill>
                  <pic:spPr>
                    <a:xfrm>
                      <a:off x="0" y="0"/>
                      <a:ext cx="5854700" cy="1786890"/>
                    </a:xfrm>
                    <a:prstGeom prst="rect">
                      <a:avLst/>
                    </a:prstGeom>
                  </pic:spPr>
                </pic:pic>
              </a:graphicData>
            </a:graphic>
          </wp:inline>
        </w:drawing>
      </w:r>
    </w:p>
    <w:p w14:paraId="10CEB2E9">
      <w:pPr>
        <w:keepNext w:val="0"/>
        <w:keepLines w:val="0"/>
        <w:pageBreakBefore w:val="0"/>
        <w:widowControl w:val="0"/>
        <w:kinsoku/>
        <w:wordWrap/>
        <w:overflowPunct/>
        <w:topLinePunct w:val="0"/>
        <w:autoSpaceDE/>
        <w:autoSpaceDN/>
        <w:bidi w:val="0"/>
        <w:adjustRightInd w:val="0"/>
        <w:snapToGrid w:val="0"/>
        <w:spacing w:line="480" w:lineRule="auto"/>
        <w:jc w:val="center"/>
        <w:textAlignment w:val="auto"/>
        <w:rPr>
          <w:rFonts w:hint="eastAsia" w:ascii="宋体" w:hAnsi="宋体"/>
          <w:b/>
          <w:bCs/>
          <w:sz w:val="44"/>
          <w:szCs w:val="44"/>
          <w:lang w:val="en-US" w:eastAsia="zh-CN"/>
        </w:rPr>
      </w:pPr>
    </w:p>
    <w:p w14:paraId="1AF34C6A">
      <w:pPr>
        <w:keepNext w:val="0"/>
        <w:keepLines w:val="0"/>
        <w:pageBreakBefore w:val="0"/>
        <w:widowControl w:val="0"/>
        <w:kinsoku/>
        <w:wordWrap/>
        <w:overflowPunct/>
        <w:topLinePunct w:val="0"/>
        <w:autoSpaceDE/>
        <w:autoSpaceDN/>
        <w:bidi w:val="0"/>
        <w:adjustRightInd w:val="0"/>
        <w:snapToGrid w:val="0"/>
        <w:spacing w:line="480" w:lineRule="auto"/>
        <w:jc w:val="center"/>
        <w:textAlignment w:val="auto"/>
        <w:rPr>
          <w:rFonts w:hint="eastAsia" w:ascii="宋体" w:hAnsi="宋体" w:eastAsia="宋体" w:cs="宋体"/>
          <w:b/>
          <w:bCs/>
          <w:sz w:val="44"/>
          <w:szCs w:val="44"/>
          <w:lang w:val="en-US" w:eastAsia="zh-CN"/>
        </w:rPr>
      </w:pPr>
      <w:r>
        <w:rPr>
          <w:rFonts w:hint="eastAsia" w:ascii="宋体" w:hAnsi="宋体"/>
          <w:b/>
          <w:bCs/>
          <w:sz w:val="44"/>
          <w:szCs w:val="44"/>
          <w:lang w:val="en-US" w:eastAsia="zh-CN"/>
        </w:rPr>
        <w:t>习近平新时代中国特色社会主义思想概论</w:t>
      </w:r>
    </w:p>
    <w:p w14:paraId="1D452A5B">
      <w:pPr>
        <w:keepNext w:val="0"/>
        <w:keepLines w:val="0"/>
        <w:pageBreakBefore w:val="0"/>
        <w:widowControl w:val="0"/>
        <w:kinsoku/>
        <w:wordWrap/>
        <w:overflowPunct/>
        <w:topLinePunct w:val="0"/>
        <w:autoSpaceDE/>
        <w:autoSpaceDN/>
        <w:bidi w:val="0"/>
        <w:adjustRightInd w:val="0"/>
        <w:snapToGrid w:val="0"/>
        <w:spacing w:line="480" w:lineRule="auto"/>
        <w:jc w:val="center"/>
        <w:textAlignment w:val="auto"/>
        <w:rPr>
          <w:rFonts w:hint="eastAsia" w:ascii="宋体" w:hAnsi="宋体" w:eastAsia="宋体" w:cs="宋体"/>
          <w:b/>
          <w:bCs/>
          <w:sz w:val="44"/>
          <w:szCs w:val="44"/>
          <w:lang w:val="en-US" w:eastAsia="zh-CN"/>
        </w:rPr>
      </w:pPr>
      <w:r>
        <w:rPr>
          <w:rFonts w:hint="default" w:ascii="宋体" w:hAnsi="宋体" w:eastAsia="宋体" w:cs="宋体"/>
          <w:b/>
          <w:bCs/>
          <w:sz w:val="44"/>
          <w:szCs w:val="44"/>
          <w:lang w:val="en-US" w:eastAsia="zh-CN"/>
        </w:rPr>
        <w:t>202</w:t>
      </w:r>
      <w:r>
        <w:rPr>
          <w:rFonts w:hint="eastAsia" w:ascii="宋体" w:hAnsi="宋体" w:cs="宋体"/>
          <w:b/>
          <w:bCs/>
          <w:sz w:val="44"/>
          <w:szCs w:val="44"/>
          <w:lang w:val="en-US" w:eastAsia="zh-CN"/>
        </w:rPr>
        <w:t>5</w:t>
      </w:r>
      <w:r>
        <w:rPr>
          <w:rFonts w:hint="default" w:ascii="宋体" w:hAnsi="宋体" w:eastAsia="宋体" w:cs="宋体"/>
          <w:b/>
          <w:bCs/>
          <w:sz w:val="44"/>
          <w:szCs w:val="44"/>
          <w:lang w:val="en-US" w:eastAsia="zh-CN"/>
        </w:rPr>
        <w:t>-202</w:t>
      </w:r>
      <w:r>
        <w:rPr>
          <w:rFonts w:hint="eastAsia" w:ascii="宋体" w:hAnsi="宋体" w:cs="宋体"/>
          <w:b/>
          <w:bCs/>
          <w:sz w:val="44"/>
          <w:szCs w:val="44"/>
          <w:lang w:val="en-US" w:eastAsia="zh-CN"/>
        </w:rPr>
        <w:t>6</w:t>
      </w:r>
      <w:r>
        <w:rPr>
          <w:rFonts w:hint="eastAsia" w:ascii="宋体" w:hAnsi="宋体" w:eastAsia="宋体" w:cs="宋体"/>
          <w:b/>
          <w:bCs/>
          <w:sz w:val="44"/>
          <w:szCs w:val="44"/>
          <w:lang w:val="en-US" w:eastAsia="zh-CN"/>
        </w:rPr>
        <w:t>学年第</w:t>
      </w:r>
      <w:r>
        <w:rPr>
          <w:rFonts w:hint="eastAsia" w:ascii="宋体" w:hAnsi="宋体" w:cs="宋体"/>
          <w:b/>
          <w:bCs/>
          <w:sz w:val="44"/>
          <w:szCs w:val="44"/>
          <w:lang w:val="en-US" w:eastAsia="zh-CN"/>
        </w:rPr>
        <w:t>二</w:t>
      </w:r>
      <w:r>
        <w:rPr>
          <w:rFonts w:hint="eastAsia" w:ascii="宋体" w:hAnsi="宋体" w:eastAsia="宋体" w:cs="宋体"/>
          <w:b/>
          <w:bCs/>
          <w:sz w:val="44"/>
          <w:szCs w:val="44"/>
          <w:lang w:val="en-US" w:eastAsia="zh-CN"/>
        </w:rPr>
        <w:t>学期</w:t>
      </w:r>
    </w:p>
    <w:p w14:paraId="43207106">
      <w:pPr>
        <w:keepNext w:val="0"/>
        <w:keepLines w:val="0"/>
        <w:pageBreakBefore w:val="0"/>
        <w:widowControl w:val="0"/>
        <w:kinsoku/>
        <w:wordWrap/>
        <w:overflowPunct/>
        <w:topLinePunct w:val="0"/>
        <w:autoSpaceDE/>
        <w:autoSpaceDN/>
        <w:bidi w:val="0"/>
        <w:adjustRightInd w:val="0"/>
        <w:snapToGrid w:val="0"/>
        <w:spacing w:line="480" w:lineRule="auto"/>
        <w:jc w:val="center"/>
        <w:textAlignment w:val="auto"/>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实践作业</w:t>
      </w:r>
    </w:p>
    <w:tbl>
      <w:tblPr>
        <w:tblStyle w:val="8"/>
        <w:tblpPr w:leftFromText="180" w:rightFromText="180" w:vertAnchor="text" w:horzAnchor="page" w:tblpX="1957" w:tblpY="997"/>
        <w:tblOverlap w:val="never"/>
        <w:tblW w:w="75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8"/>
        <w:gridCol w:w="5687"/>
      </w:tblGrid>
      <w:tr w14:paraId="5149B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jc w:val="center"/>
        </w:trPr>
        <w:tc>
          <w:tcPr>
            <w:tcW w:w="1888" w:type="dxa"/>
            <w:tcBorders>
              <w:top w:val="nil"/>
              <w:left w:val="nil"/>
              <w:bottom w:val="nil"/>
              <w:right w:val="nil"/>
            </w:tcBorders>
            <w:shd w:val="clear" w:color="auto" w:fill="auto"/>
            <w:vAlign w:val="bottom"/>
          </w:tcPr>
          <w:p w14:paraId="339F0E97">
            <w:pPr>
              <w:ind w:left="420" w:leftChars="200" w:firstLine="0" w:firstLineChars="0"/>
              <w:jc w:val="right"/>
              <w:rPr>
                <w:rFonts w:hint="default" w:ascii="宋体" w:hAnsi="宋体"/>
                <w:b/>
                <w:bCs/>
                <w:sz w:val="30"/>
                <w:szCs w:val="30"/>
                <w:lang w:val="en-US"/>
              </w:rPr>
            </w:pPr>
            <w:r>
              <w:rPr>
                <w:rFonts w:hint="eastAsia" w:ascii="宋体" w:hAnsi="宋体"/>
                <w:b/>
                <w:bCs/>
                <w:sz w:val="30"/>
                <w:szCs w:val="30"/>
                <w:lang w:val="en-US" w:eastAsia="zh-CN"/>
              </w:rPr>
              <w:t>作业主题</w:t>
            </w:r>
          </w:p>
        </w:tc>
        <w:tc>
          <w:tcPr>
            <w:tcW w:w="5687" w:type="dxa"/>
            <w:tcBorders>
              <w:top w:val="nil"/>
              <w:left w:val="nil"/>
              <w:bottom w:val="single" w:color="auto" w:sz="4" w:space="0"/>
              <w:right w:val="nil"/>
            </w:tcBorders>
            <w:shd w:val="clear" w:color="auto" w:fill="auto"/>
            <w:vAlign w:val="center"/>
          </w:tcPr>
          <w:p w14:paraId="6BBA6641">
            <w:pPr>
              <w:adjustRightInd w:val="0"/>
              <w:snapToGrid w:val="0"/>
              <w:spacing w:line="700" w:lineRule="exact"/>
              <w:jc w:val="center"/>
              <w:rPr>
                <w:rFonts w:hint="default" w:ascii="宋体" w:hAnsi="宋体" w:eastAsiaTheme="minorEastAsia"/>
                <w:b/>
                <w:bCs/>
                <w:sz w:val="30"/>
                <w:szCs w:val="30"/>
                <w:lang w:val="en-US" w:eastAsia="zh-CN"/>
              </w:rPr>
            </w:pPr>
            <w:r>
              <w:rPr>
                <w:rFonts w:hint="eastAsia" w:ascii="宋体" w:hAnsi="宋体"/>
                <w:b/>
                <w:bCs/>
                <w:sz w:val="30"/>
                <w:szCs w:val="30"/>
                <w:lang w:val="en-US" w:eastAsia="zh-CN"/>
              </w:rPr>
              <w:t>我眼中的新时代</w:t>
            </w:r>
          </w:p>
        </w:tc>
      </w:tr>
      <w:tr w14:paraId="16C18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8" w:type="dxa"/>
            <w:tcBorders>
              <w:top w:val="nil"/>
              <w:left w:val="nil"/>
              <w:bottom w:val="nil"/>
              <w:right w:val="nil"/>
            </w:tcBorders>
            <w:shd w:val="clear" w:color="auto" w:fill="auto"/>
            <w:vAlign w:val="bottom"/>
          </w:tcPr>
          <w:p w14:paraId="1CCA8350">
            <w:pPr>
              <w:adjustRightInd w:val="0"/>
              <w:snapToGrid w:val="0"/>
              <w:spacing w:line="700" w:lineRule="exact"/>
              <w:jc w:val="right"/>
              <w:rPr>
                <w:rFonts w:ascii="宋体" w:hAnsi="宋体"/>
                <w:b/>
                <w:bCs/>
                <w:sz w:val="30"/>
                <w:szCs w:val="30"/>
              </w:rPr>
            </w:pPr>
            <w:r>
              <w:rPr>
                <w:rFonts w:hint="eastAsia" w:ascii="宋体" w:hAnsi="宋体"/>
                <w:b/>
                <w:bCs/>
                <w:sz w:val="30"/>
                <w:szCs w:val="30"/>
              </w:rPr>
              <w:t>学    院</w:t>
            </w:r>
          </w:p>
        </w:tc>
        <w:tc>
          <w:tcPr>
            <w:tcW w:w="5687" w:type="dxa"/>
            <w:tcBorders>
              <w:top w:val="single" w:color="auto" w:sz="4" w:space="0"/>
              <w:left w:val="nil"/>
              <w:bottom w:val="single" w:color="auto" w:sz="4" w:space="0"/>
              <w:right w:val="nil"/>
            </w:tcBorders>
            <w:shd w:val="clear" w:color="auto" w:fill="auto"/>
            <w:vAlign w:val="bottom"/>
          </w:tcPr>
          <w:p w14:paraId="7A6EDF70">
            <w:pPr>
              <w:adjustRightInd w:val="0"/>
              <w:snapToGrid w:val="0"/>
              <w:spacing w:line="700" w:lineRule="exact"/>
              <w:jc w:val="center"/>
              <w:rPr>
                <w:rFonts w:hint="eastAsia" w:ascii="宋体" w:hAnsi="宋体" w:eastAsia="宋体"/>
                <w:b/>
                <w:bCs/>
                <w:sz w:val="30"/>
                <w:szCs w:val="30"/>
                <w:lang w:val="en-US" w:eastAsia="zh-CN"/>
              </w:rPr>
            </w:pPr>
            <w:r>
              <w:rPr>
                <w:rFonts w:hint="eastAsia" w:ascii="宋体" w:hAnsi="宋体"/>
                <w:b/>
                <w:bCs/>
                <w:sz w:val="30"/>
                <w:szCs w:val="30"/>
                <w:lang w:val="en-US" w:eastAsia="zh-CN"/>
              </w:rPr>
              <w:t>信息工程学院</w:t>
            </w:r>
          </w:p>
        </w:tc>
      </w:tr>
      <w:tr w14:paraId="74A27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8" w:type="dxa"/>
            <w:tcBorders>
              <w:top w:val="nil"/>
              <w:left w:val="nil"/>
              <w:bottom w:val="nil"/>
              <w:right w:val="nil"/>
            </w:tcBorders>
            <w:shd w:val="clear" w:color="auto" w:fill="auto"/>
            <w:vAlign w:val="bottom"/>
          </w:tcPr>
          <w:p w14:paraId="77567ECA">
            <w:pPr>
              <w:adjustRightInd w:val="0"/>
              <w:snapToGrid w:val="0"/>
              <w:spacing w:line="700" w:lineRule="exact"/>
              <w:jc w:val="right"/>
              <w:rPr>
                <w:rFonts w:ascii="宋体" w:hAnsi="宋体"/>
                <w:b/>
                <w:bCs/>
                <w:sz w:val="30"/>
                <w:szCs w:val="30"/>
              </w:rPr>
            </w:pPr>
            <w:r>
              <w:rPr>
                <w:rFonts w:hint="eastAsia" w:ascii="宋体" w:hAnsi="宋体"/>
                <w:b/>
                <w:bCs/>
                <w:sz w:val="30"/>
                <w:szCs w:val="30"/>
              </w:rPr>
              <w:t>班    级</w:t>
            </w:r>
          </w:p>
        </w:tc>
        <w:tc>
          <w:tcPr>
            <w:tcW w:w="5687" w:type="dxa"/>
            <w:tcBorders>
              <w:top w:val="single" w:color="auto" w:sz="4" w:space="0"/>
              <w:left w:val="nil"/>
              <w:bottom w:val="single" w:color="auto" w:sz="4" w:space="0"/>
              <w:right w:val="nil"/>
            </w:tcBorders>
            <w:shd w:val="clear" w:color="auto" w:fill="auto"/>
            <w:vAlign w:val="bottom"/>
          </w:tcPr>
          <w:p w14:paraId="072DE62B">
            <w:pPr>
              <w:adjustRightInd w:val="0"/>
              <w:snapToGrid w:val="0"/>
              <w:spacing w:line="700" w:lineRule="exact"/>
              <w:jc w:val="center"/>
              <w:rPr>
                <w:rFonts w:hint="default" w:ascii="宋体" w:hAnsi="宋体" w:eastAsiaTheme="minorEastAsia"/>
                <w:b/>
                <w:bCs/>
                <w:sz w:val="30"/>
                <w:szCs w:val="30"/>
                <w:lang w:val="en-US" w:eastAsia="zh-CN"/>
              </w:rPr>
            </w:pPr>
            <w:r>
              <w:rPr>
                <w:rFonts w:hint="eastAsia" w:ascii="宋体" w:hAnsi="宋体" w:eastAsiaTheme="minorEastAsia"/>
                <w:b/>
                <w:bCs/>
                <w:sz w:val="30"/>
                <w:szCs w:val="30"/>
                <w:lang w:val="en-US" w:eastAsia="zh-CN"/>
              </w:rPr>
              <w:t>软件工程本科K2301班</w:t>
            </w:r>
          </w:p>
        </w:tc>
      </w:tr>
      <w:tr w14:paraId="5A48E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8" w:type="dxa"/>
            <w:tcBorders>
              <w:top w:val="nil"/>
              <w:left w:val="nil"/>
              <w:bottom w:val="nil"/>
              <w:right w:val="nil"/>
            </w:tcBorders>
            <w:shd w:val="clear" w:color="auto" w:fill="auto"/>
            <w:vAlign w:val="bottom"/>
          </w:tcPr>
          <w:p w14:paraId="77AC7F75">
            <w:pPr>
              <w:adjustRightInd w:val="0"/>
              <w:snapToGrid w:val="0"/>
              <w:spacing w:line="700" w:lineRule="exact"/>
              <w:jc w:val="right"/>
              <w:rPr>
                <w:rFonts w:ascii="宋体" w:hAnsi="宋体"/>
                <w:b/>
                <w:bCs/>
                <w:sz w:val="30"/>
                <w:szCs w:val="30"/>
              </w:rPr>
            </w:pPr>
            <w:r>
              <w:rPr>
                <w:rFonts w:hint="eastAsia" w:ascii="宋体" w:hAnsi="宋体"/>
                <w:b/>
                <w:bCs/>
                <w:sz w:val="30"/>
                <w:szCs w:val="30"/>
              </w:rPr>
              <w:t>姓    名</w:t>
            </w:r>
          </w:p>
        </w:tc>
        <w:tc>
          <w:tcPr>
            <w:tcW w:w="5687" w:type="dxa"/>
            <w:tcBorders>
              <w:top w:val="single" w:color="auto" w:sz="4" w:space="0"/>
              <w:left w:val="nil"/>
              <w:bottom w:val="single" w:color="auto" w:sz="4" w:space="0"/>
              <w:right w:val="nil"/>
            </w:tcBorders>
            <w:shd w:val="clear" w:color="auto" w:fill="auto"/>
            <w:vAlign w:val="bottom"/>
          </w:tcPr>
          <w:p w14:paraId="199BDD63">
            <w:pPr>
              <w:adjustRightInd w:val="0"/>
              <w:snapToGrid w:val="0"/>
              <w:spacing w:line="700" w:lineRule="exact"/>
              <w:jc w:val="center"/>
              <w:rPr>
                <w:rFonts w:hint="default" w:ascii="宋体" w:hAnsi="宋体" w:eastAsiaTheme="minorEastAsia"/>
                <w:b/>
                <w:bCs/>
                <w:sz w:val="30"/>
                <w:szCs w:val="30"/>
                <w:lang w:val="en-US" w:eastAsia="zh-CN"/>
              </w:rPr>
            </w:pPr>
            <w:r>
              <w:rPr>
                <w:rFonts w:hint="eastAsia" w:ascii="宋体" w:hAnsi="宋体" w:eastAsiaTheme="minorEastAsia"/>
                <w:b/>
                <w:bCs/>
                <w:sz w:val="30"/>
                <w:szCs w:val="30"/>
                <w:lang w:val="en-US" w:eastAsia="zh-CN"/>
              </w:rPr>
              <w:t>杨顺</w:t>
            </w:r>
          </w:p>
        </w:tc>
      </w:tr>
      <w:tr w14:paraId="0F0B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8" w:type="dxa"/>
            <w:tcBorders>
              <w:top w:val="nil"/>
              <w:left w:val="nil"/>
              <w:bottom w:val="nil"/>
              <w:right w:val="nil"/>
            </w:tcBorders>
            <w:shd w:val="clear" w:color="auto" w:fill="auto"/>
            <w:vAlign w:val="bottom"/>
          </w:tcPr>
          <w:p w14:paraId="5BAE029E">
            <w:pPr>
              <w:adjustRightInd w:val="0"/>
              <w:snapToGrid w:val="0"/>
              <w:spacing w:line="700" w:lineRule="exact"/>
              <w:jc w:val="right"/>
              <w:rPr>
                <w:rFonts w:hint="default" w:ascii="宋体" w:hAnsi="宋体" w:eastAsiaTheme="minorEastAsia"/>
                <w:b/>
                <w:bCs/>
                <w:sz w:val="30"/>
                <w:szCs w:val="30"/>
                <w:lang w:val="en-US" w:eastAsia="zh-CN"/>
              </w:rPr>
            </w:pPr>
            <w:r>
              <w:rPr>
                <w:rFonts w:hint="eastAsia" w:ascii="宋体" w:hAnsi="宋体"/>
                <w:b/>
                <w:bCs/>
                <w:sz w:val="30"/>
                <w:szCs w:val="30"/>
                <w:u w:val="none"/>
              </w:rPr>
              <w:t>学    号</w:t>
            </w:r>
          </w:p>
        </w:tc>
        <w:tc>
          <w:tcPr>
            <w:tcW w:w="5687" w:type="dxa"/>
            <w:tcBorders>
              <w:top w:val="single" w:color="auto" w:sz="4" w:space="0"/>
              <w:left w:val="nil"/>
              <w:bottom w:val="single" w:color="auto" w:sz="4" w:space="0"/>
              <w:right w:val="nil"/>
            </w:tcBorders>
            <w:shd w:val="clear" w:color="auto" w:fill="auto"/>
            <w:vAlign w:val="bottom"/>
          </w:tcPr>
          <w:p w14:paraId="505BD751">
            <w:pPr>
              <w:adjustRightInd w:val="0"/>
              <w:snapToGrid w:val="0"/>
              <w:spacing w:line="700" w:lineRule="exact"/>
              <w:jc w:val="center"/>
              <w:rPr>
                <w:rFonts w:hint="default" w:ascii="宋体" w:hAnsi="宋体" w:eastAsiaTheme="minorEastAsia"/>
                <w:b/>
                <w:bCs/>
                <w:sz w:val="30"/>
                <w:szCs w:val="30"/>
                <w:lang w:val="en-US" w:eastAsia="zh-CN"/>
              </w:rPr>
            </w:pPr>
            <w:r>
              <w:rPr>
                <w:rFonts w:hint="eastAsia" w:ascii="宋体" w:hAnsi="宋体" w:eastAsiaTheme="minorEastAsia"/>
                <w:b/>
                <w:bCs/>
                <w:sz w:val="30"/>
                <w:szCs w:val="30"/>
                <w:lang w:val="en-US" w:eastAsia="zh-CN"/>
              </w:rPr>
              <w:t>230508080105</w:t>
            </w:r>
          </w:p>
        </w:tc>
      </w:tr>
      <w:tr w14:paraId="73D2A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8" w:type="dxa"/>
            <w:tcBorders>
              <w:top w:val="nil"/>
              <w:left w:val="nil"/>
              <w:bottom w:val="nil"/>
              <w:right w:val="nil"/>
            </w:tcBorders>
            <w:shd w:val="clear" w:color="auto" w:fill="auto"/>
            <w:vAlign w:val="bottom"/>
          </w:tcPr>
          <w:p w14:paraId="4CA882F8">
            <w:pPr>
              <w:adjustRightInd w:val="0"/>
              <w:snapToGrid w:val="0"/>
              <w:spacing w:line="700" w:lineRule="exact"/>
              <w:jc w:val="right"/>
              <w:rPr>
                <w:rFonts w:hint="default" w:ascii="宋体" w:hAnsi="宋体" w:eastAsia="宋体"/>
                <w:b/>
                <w:bCs/>
                <w:sz w:val="30"/>
                <w:szCs w:val="30"/>
                <w:u w:val="none"/>
                <w:lang w:val="en-US" w:eastAsia="zh-CN"/>
              </w:rPr>
            </w:pPr>
            <w:r>
              <w:rPr>
                <w:rFonts w:hint="eastAsia" w:ascii="宋体" w:hAnsi="宋体"/>
                <w:b/>
                <w:bCs/>
                <w:sz w:val="30"/>
                <w:szCs w:val="30"/>
                <w:u w:val="none"/>
                <w:lang w:val="en-US" w:eastAsia="zh-CN"/>
              </w:rPr>
              <w:t>指导老师</w:t>
            </w:r>
          </w:p>
        </w:tc>
        <w:tc>
          <w:tcPr>
            <w:tcW w:w="5687" w:type="dxa"/>
            <w:tcBorders>
              <w:top w:val="single" w:color="auto" w:sz="4" w:space="0"/>
              <w:left w:val="nil"/>
              <w:bottom w:val="single" w:color="auto" w:sz="4" w:space="0"/>
              <w:right w:val="nil"/>
            </w:tcBorders>
            <w:shd w:val="clear" w:color="auto" w:fill="auto"/>
            <w:vAlign w:val="bottom"/>
          </w:tcPr>
          <w:p w14:paraId="21898D77">
            <w:pPr>
              <w:adjustRightInd w:val="0"/>
              <w:snapToGrid w:val="0"/>
              <w:spacing w:line="700" w:lineRule="exact"/>
              <w:jc w:val="center"/>
              <w:rPr>
                <w:rFonts w:hint="default" w:ascii="宋体" w:hAnsi="宋体" w:eastAsiaTheme="minorEastAsia"/>
                <w:b/>
                <w:bCs/>
                <w:sz w:val="30"/>
                <w:szCs w:val="30"/>
                <w:lang w:val="en-US" w:eastAsia="zh-CN"/>
              </w:rPr>
            </w:pPr>
            <w:r>
              <w:rPr>
                <w:rFonts w:hint="eastAsia" w:ascii="宋体" w:hAnsi="宋体" w:eastAsiaTheme="minorEastAsia"/>
                <w:b/>
                <w:bCs/>
                <w:sz w:val="30"/>
                <w:szCs w:val="30"/>
                <w:lang w:val="en-US" w:eastAsia="zh-CN"/>
              </w:rPr>
              <w:t>赵曼</w:t>
            </w:r>
          </w:p>
        </w:tc>
      </w:tr>
    </w:tbl>
    <w:p w14:paraId="52EA6572">
      <w:pPr>
        <w:keepNext w:val="0"/>
        <w:keepLines w:val="0"/>
        <w:pageBreakBefore w:val="0"/>
        <w:widowControl w:val="0"/>
        <w:kinsoku/>
        <w:wordWrap/>
        <w:overflowPunct/>
        <w:topLinePunct w:val="0"/>
        <w:autoSpaceDE/>
        <w:autoSpaceDN/>
        <w:bidi w:val="0"/>
        <w:adjustRightInd w:val="0"/>
        <w:snapToGrid w:val="0"/>
        <w:spacing w:line="480" w:lineRule="auto"/>
        <w:jc w:val="center"/>
        <w:textAlignment w:val="auto"/>
        <w:rPr>
          <w:rFonts w:hint="eastAsia" w:ascii="宋体" w:hAnsi="宋体" w:eastAsia="宋体" w:cs="宋体"/>
          <w:b/>
          <w:bCs/>
          <w:sz w:val="44"/>
          <w:szCs w:val="44"/>
          <w:lang w:val="en-US" w:eastAsia="zh-CN"/>
        </w:rPr>
      </w:pPr>
    </w:p>
    <w:p w14:paraId="71B8C59B">
      <w:pPr>
        <w:spacing w:line="720" w:lineRule="auto"/>
        <w:rPr>
          <w:rFonts w:ascii="黑体" w:hAnsi="黑体" w:eastAsia="黑体"/>
          <w:spacing w:val="20"/>
          <w:sz w:val="46"/>
          <w:szCs w:val="46"/>
        </w:rPr>
      </w:pPr>
      <w:r>
        <w:rPr>
          <w:rFonts w:hint="eastAsia" w:ascii="黑体" w:hAnsi="黑体" w:eastAsia="黑体"/>
          <w:spacing w:val="20"/>
          <w:sz w:val="46"/>
          <w:szCs w:val="46"/>
        </w:rPr>
        <w:t xml:space="preserve">         </w:t>
      </w:r>
    </w:p>
    <w:p w14:paraId="0F52268E">
      <w:pPr>
        <w:jc w:val="center"/>
        <w:rPr>
          <w:rFonts w:ascii="仿宋_GB2312" w:hAnsi="仿宋_GB2312" w:eastAsia="仿宋_GB2312" w:cs="仿宋_GB2312"/>
          <w:spacing w:val="40"/>
          <w:sz w:val="32"/>
        </w:rPr>
      </w:pPr>
    </w:p>
    <w:p w14:paraId="7289A386">
      <w:pPr>
        <w:rPr>
          <w:rFonts w:ascii="仿宋_GB2312" w:hAnsi="仿宋_GB2312" w:eastAsia="仿宋_GB2312" w:cs="仿宋_GB2312"/>
          <w:spacing w:val="40"/>
          <w:sz w:val="32"/>
        </w:rPr>
      </w:pPr>
    </w:p>
    <w:p w14:paraId="5978D328">
      <w:pPr>
        <w:jc w:val="center"/>
        <w:rPr>
          <w:rFonts w:ascii="仿宋_GB2312" w:hAnsi="仿宋_GB2312" w:eastAsia="仿宋_GB2312" w:cs="仿宋_GB2312"/>
          <w:spacing w:val="40"/>
          <w:sz w:val="32"/>
        </w:rPr>
      </w:pPr>
      <w:r>
        <w:rPr>
          <w:rFonts w:hint="eastAsia" w:ascii="仿宋_GB2312" w:hAnsi="仿宋_GB2312" w:eastAsia="仿宋_GB2312" w:cs="仿宋_GB2312"/>
          <w:spacing w:val="40"/>
          <w:sz w:val="32"/>
        </w:rPr>
        <w:t xml:space="preserve">      </w:t>
      </w:r>
    </w:p>
    <w:p w14:paraId="410774ED">
      <w:pPr>
        <w:rPr>
          <w:rFonts w:ascii="仿宋_GB2312" w:hAnsi="仿宋_GB2312" w:eastAsia="仿宋_GB2312" w:cs="仿宋_GB2312"/>
          <w:spacing w:val="40"/>
          <w:sz w:val="32"/>
        </w:rPr>
      </w:pPr>
      <w:r>
        <w:rPr>
          <w:rFonts w:ascii="仿宋_GB2312" w:hAnsi="仿宋_GB2312" w:eastAsia="仿宋_GB2312" w:cs="仿宋_GB2312"/>
          <w:spacing w:val="40"/>
          <w:sz w:val="32"/>
        </w:rPr>
        <w:br w:type="page"/>
      </w:r>
    </w:p>
    <w:p w14:paraId="3EBA167E">
      <w:pPr>
        <w:spacing w:line="720" w:lineRule="auto"/>
        <w:rPr>
          <w:rFonts w:ascii="方正小标宋简体" w:hAnsi="方正小标宋简体" w:eastAsia="方正小标宋简体" w:cs="方正小标宋简体"/>
          <w:b/>
          <w:bCs/>
          <w:spacing w:val="40"/>
          <w:sz w:val="36"/>
          <w:szCs w:val="32"/>
        </w:rPr>
        <w:sectPr>
          <w:headerReference r:id="rId3" w:type="default"/>
          <w:pgSz w:w="11906" w:h="16838"/>
          <w:pgMar w:top="1440" w:right="1080" w:bottom="1440" w:left="1080" w:header="567" w:footer="992" w:gutter="0"/>
          <w:pgNumType w:fmt="decimal"/>
          <w:cols w:space="720" w:num="1"/>
          <w:docGrid w:type="lines" w:linePitch="312" w:charSpace="0"/>
        </w:sectPr>
      </w:pPr>
    </w:p>
    <w:p w14:paraId="1068D31D">
      <w:pPr>
        <w:spacing w:after="240"/>
        <w:jc w:val="center"/>
      </w:pPr>
      <w:r>
        <w:rPr>
          <w:rFonts w:ascii="仿宋" w:hAnsi="仿宋" w:eastAsia="仿宋"/>
          <w:b/>
          <w:sz w:val="44"/>
        </w:rPr>
        <w:t>我眼中的新时代——从郑州绿博园看中原城市十年生态蝶变</w:t>
      </w:r>
    </w:p>
    <w:p w14:paraId="763F9B61">
      <w:pPr>
        <w:spacing w:after="0" w:line="360" w:lineRule="auto"/>
        <w:ind w:firstLine="482"/>
      </w:pPr>
      <w:r>
        <w:rPr>
          <w:rFonts w:ascii="仿宋" w:hAnsi="仿宋" w:eastAsia="仿宋"/>
          <w:b w:val="0"/>
          <w:sz w:val="28"/>
        </w:rPr>
        <w:t>生态文明建设是新时代中国特色社会主义的重要组成部分。2026年4月1日至10日，笔者以郑州绿博园为主要调研地点，通过实地考察、访谈交流、数据分析等方法，系统了解了郑州绿博园从第二届中国绿化博览会举办地转型为城市生态绿肺的发展历程，并结合郑州市生态环境局公开数据，分析了贾鲁河治理等区域生态建设成效。调研发现，十年来郑州绿博园在植被覆盖率、水体质量、生物多样性等方面均取得显著提升，成为展示中原地区生态文明建设成果的重要窗口。同时，调研也发现园区在设施维护、适老化服务、人流管理等方面存在不足。本报告结合软件工程专业背景，从技术角度分析了园区智能化建设中存在的问题，并提出了针对性建议。</w:t>
      </w:r>
    </w:p>
    <w:p w14:paraId="18BE66B1">
      <w:pPr>
        <w:spacing w:before="240" w:after="120"/>
      </w:pPr>
      <w:r>
        <w:rPr>
          <w:rFonts w:ascii="仿宋" w:hAnsi="仿宋" w:eastAsia="仿宋"/>
          <w:b/>
          <w:sz w:val="28"/>
        </w:rPr>
        <w:t>一、调研背景与目的</w:t>
      </w:r>
    </w:p>
    <w:p w14:paraId="3E029012">
      <w:pPr>
        <w:spacing w:after="0" w:line="360" w:lineRule="auto"/>
        <w:ind w:firstLine="482"/>
      </w:pPr>
      <w:r>
        <w:rPr>
          <w:rFonts w:ascii="仿宋" w:hAnsi="仿宋" w:eastAsia="仿宋"/>
          <w:b w:val="0"/>
          <w:sz w:val="28"/>
        </w:rPr>
        <w:t>党的十八大以来，生态文明建设被纳入中国特色社会主义事业"五位一体"总体布局，"绿水青山就是金山银山"的理念深入人心。作为中部地区重要的中心城市，郑州市近年来在生态环境建设方面投入巨大，城市面貌发生了显著变化。郑州绿博园作为第二届中国绿化博览会的举办地，自2010年建成以来已走过十六年历程，其发展变迁是观察中原城市生态建设成效的重要窗口。</w:t>
      </w:r>
    </w:p>
    <w:p w14:paraId="19B88277">
      <w:pPr>
        <w:spacing w:after="0" w:line="360" w:lineRule="auto"/>
        <w:ind w:firstLine="482"/>
      </w:pPr>
      <w:r>
        <w:rPr>
          <w:rFonts w:ascii="仿宋" w:hAnsi="仿宋" w:eastAsia="仿宋"/>
          <w:b w:val="0"/>
          <w:sz w:val="28"/>
        </w:rPr>
        <w:t>笔者于2024年秋季进入郑州工商学院郑州校区学习，大一学年在兰考校区度过。从兰考到郑州，两地的生态环境各有特色。兰考作为焦裕禄精神的发源地，在防风治沙、盐碱地治理方面有着悠久的历史和丰富的经验，泡桐树已成为兰考的标志性植物。来到郑州后，笔者注意到这座省会城市在生态建设方面同样取得了长足进步，城市公园、绿地数量明显增加，空气质量较几年前有了明显改善。这种切身感受促使笔者选择郑州绿博园作为调研对象，希望通过实地考察了解其生态建设成效与运营现状。</w:t>
      </w:r>
    </w:p>
    <w:p w14:paraId="50C167BE">
      <w:pPr>
        <w:spacing w:after="0" w:line="360" w:lineRule="auto"/>
        <w:ind w:firstLine="482"/>
      </w:pPr>
      <w:r>
        <w:rPr>
          <w:rFonts w:ascii="仿宋" w:hAnsi="仿宋" w:eastAsia="仿宋"/>
          <w:b w:val="0"/>
          <w:sz w:val="28"/>
        </w:rPr>
        <w:t>本次调研的目的在于：第一，通过实地考察了解郑州绿博园的生态建设现状，收集一手资料；第二，结合官方公开数据，分析十年来园区及周边区域的生态变化趋势；第三，发现园区运营中存在的问题，结合专业背景提出可行性建议；第四，加深对新时代生态文明建设的理解，增强社会责任感。</w:t>
      </w:r>
    </w:p>
    <w:p w14:paraId="6AF41570">
      <w:pPr>
        <w:spacing w:before="240" w:after="120"/>
      </w:pPr>
      <w:r>
        <w:rPr>
          <w:rFonts w:ascii="仿宋" w:hAnsi="仿宋" w:eastAsia="仿宋"/>
          <w:b/>
          <w:sz w:val="28"/>
        </w:rPr>
        <w:t>二、调研过程与方法</w:t>
      </w:r>
    </w:p>
    <w:p w14:paraId="0B506743">
      <w:pPr>
        <w:spacing w:after="0" w:line="360" w:lineRule="auto"/>
        <w:ind w:firstLine="482"/>
      </w:pPr>
      <w:r>
        <w:rPr>
          <w:rFonts w:ascii="仿宋" w:hAnsi="仿宋" w:eastAsia="仿宋"/>
          <w:b w:val="0"/>
          <w:sz w:val="28"/>
        </w:rPr>
        <w:t>本次调研时间为2026年4月1日至4月10日，调研地点为郑州绿博园。调研方法包括实地考察、访谈交流、文献资料分析三种。调研过程按时间顺序展开，具体情况如下：</w:t>
      </w:r>
    </w:p>
    <w:p w14:paraId="6A7C55D6">
      <w:pPr>
        <w:spacing w:after="0" w:line="360" w:lineRule="auto"/>
        <w:ind w:firstLine="482"/>
      </w:pPr>
      <w:r>
        <w:rPr>
          <w:rFonts w:ascii="仿宋" w:hAnsi="仿宋" w:eastAsia="仿宋"/>
          <w:b w:val="0"/>
          <w:sz w:val="28"/>
        </w:rPr>
        <w:t>4月1日，笔者乘坐游</w:t>
      </w:r>
      <w:r>
        <w:rPr>
          <w:rFonts w:hint="eastAsia" w:ascii="仿宋" w:hAnsi="仿宋" w:eastAsia="仿宋"/>
          <w:b w:val="0"/>
          <w:sz w:val="28"/>
          <w:lang w:val="en-US" w:eastAsia="zh-CN"/>
        </w:rPr>
        <w:t>308</w:t>
      </w:r>
      <w:r>
        <w:rPr>
          <w:rFonts w:ascii="仿宋" w:hAnsi="仿宋" w:eastAsia="仿宋"/>
          <w:b w:val="0"/>
          <w:sz w:val="28"/>
        </w:rPr>
        <w:t>路公交车前往郑州绿博园。由于出发时间恰逢早高峰，金水东路与郑开大道交叉口附近出现拥堵，抵达园区时间较计划推迟约</w:t>
      </w:r>
      <w:r>
        <w:rPr>
          <w:rFonts w:hint="eastAsia" w:ascii="仿宋" w:hAnsi="仿宋" w:eastAsia="仿宋"/>
          <w:b w:val="0"/>
          <w:sz w:val="28"/>
          <w:lang w:val="en-US" w:eastAsia="zh-CN"/>
        </w:rPr>
        <w:t>15</w:t>
      </w:r>
      <w:r>
        <w:rPr>
          <w:rFonts w:ascii="仿宋" w:hAnsi="仿宋" w:eastAsia="仿宋"/>
          <w:b w:val="0"/>
          <w:sz w:val="28"/>
        </w:rPr>
        <w:t>分钟。这一经历让笔者注意到，虽然公共交通可达性较好，但高峰时段的通勤效率仍有提升空间。当日主要完成园区整体踏勘与基础信息收集，包括园区布局、主要景点分布、基础设施状况等。园区占地面积约2939亩，规模较大，全程步行游览约需4小时。</w:t>
      </w:r>
    </w:p>
    <w:p w14:paraId="011156CE">
      <w:pPr>
        <w:spacing w:after="0" w:line="360" w:lineRule="auto"/>
        <w:ind w:firstLine="482"/>
      </w:pPr>
      <w:r>
        <w:rPr>
          <w:rFonts w:ascii="仿宋" w:hAnsi="仿宋" w:eastAsia="仿宋"/>
          <w:b w:val="0"/>
          <w:sz w:val="28"/>
        </w:rPr>
        <w:t>4月3日为清明假期首日，笔者选择这一天进行调研，目的是观察节假日期间园区的运营状况。当日重点考察湿地水生植物区与生态科普馆。在湿地水生植物区，笔者观察到多种水生植物生长状况良好，水面可见水鸟活动。在生态科普馆，笔者随机访谈了多名游客，了解他们对园区科普功能的评价。现场观察发现，节假日期间园区游客量明显增加，部分区域出现人流密集现象，停车场的车位较为紧张。</w:t>
      </w:r>
    </w:p>
    <w:p w14:paraId="1666E684">
      <w:pPr>
        <w:spacing w:after="0" w:line="360" w:lineRule="auto"/>
        <w:ind w:firstLine="482"/>
      </w:pPr>
      <w:r>
        <w:rPr>
          <w:rFonts w:ascii="仿宋" w:hAnsi="仿宋" w:eastAsia="仿宋"/>
          <w:b w:val="0"/>
          <w:sz w:val="28"/>
        </w:rPr>
        <w:t>4月5日为工作日，笔者再次前往园区，重点访谈园区工作人员，了解日常运维情况。当日访谈对象包括从事保洁工作5年的王阿姨、园区保安李叔。通过访谈，笔者了解到园区日常维护工作的具体内容、工作中遇到的困难以及工作人员对园区变化的感受。同时，笔者对比了工作日与节假日的园区状态，发现工作日游客量明显较少，园区环境更加安静，更适合深度游览。</w:t>
      </w:r>
    </w:p>
    <w:p w14:paraId="400C0A80">
      <w:pPr>
        <w:spacing w:after="0" w:line="360" w:lineRule="auto"/>
        <w:ind w:firstLine="482"/>
      </w:pPr>
      <w:r>
        <w:rPr>
          <w:rFonts w:ascii="仿宋" w:hAnsi="仿宋" w:eastAsia="仿宋"/>
          <w:b w:val="0"/>
          <w:sz w:val="28"/>
        </w:rPr>
        <w:t>本次调研共访谈</w:t>
      </w:r>
      <w:r>
        <w:rPr>
          <w:rFonts w:hint="eastAsia" w:ascii="仿宋" w:hAnsi="仿宋" w:eastAsia="仿宋"/>
          <w:b w:val="0"/>
          <w:sz w:val="28"/>
          <w:lang w:val="en-US" w:eastAsia="zh-CN"/>
        </w:rPr>
        <w:t>5</w:t>
      </w:r>
      <w:r>
        <w:rPr>
          <w:rFonts w:ascii="仿宋" w:hAnsi="仿宋" w:eastAsia="仿宋"/>
          <w:b w:val="0"/>
          <w:sz w:val="28"/>
        </w:rPr>
        <w:t>人，包括：园区保洁人员王阿姨（从事保洁工作5年）、中牟本地游客李女士、退休居民张大爷、同班同学小</w:t>
      </w:r>
      <w:r>
        <w:rPr>
          <w:rFonts w:hint="eastAsia" w:ascii="仿宋" w:hAnsi="仿宋" w:eastAsia="仿宋"/>
          <w:b w:val="0"/>
          <w:sz w:val="28"/>
          <w:lang w:val="en-US" w:eastAsia="zh-CN"/>
        </w:rPr>
        <w:t>张</w:t>
      </w:r>
      <w:r>
        <w:rPr>
          <w:rFonts w:ascii="仿宋" w:hAnsi="仿宋" w:eastAsia="仿宋"/>
          <w:b w:val="0"/>
          <w:sz w:val="28"/>
        </w:rPr>
        <w:t>、园区保安李叔。访谈内容涵盖园区生态变化、游客体验、运营问题等多个方面。</w:t>
      </w:r>
    </w:p>
    <w:p w14:paraId="600C4126">
      <w:pPr>
        <w:spacing w:after="0" w:line="360" w:lineRule="auto"/>
        <w:ind w:firstLine="482"/>
      </w:pPr>
      <w:r>
        <w:rPr>
          <w:rFonts w:ascii="仿宋" w:hAnsi="仿宋" w:eastAsia="仿宋"/>
          <w:b w:val="0"/>
          <w:sz w:val="28"/>
        </w:rPr>
        <w:t>数据来源方面，本报告引用的数据主要来自：郑州市生态环境局2025年度公报、郑州绿博园官方公众号发布的信息、河南省林业局公开数据。需要说明的是，贾鲁河治理部分仅作为区域生态建设的佐证，相关数据均来自官方发布，本次未对贾鲁河进行实地调研。</w:t>
      </w:r>
    </w:p>
    <w:p w14:paraId="0C887CD7">
      <w:pPr>
        <w:spacing w:before="240" w:after="120"/>
      </w:pPr>
      <w:r>
        <w:rPr>
          <w:rFonts w:ascii="仿宋" w:hAnsi="仿宋" w:eastAsia="仿宋"/>
          <w:b/>
          <w:sz w:val="28"/>
        </w:rPr>
        <w:t>三、调研结果与分析</w:t>
      </w:r>
    </w:p>
    <w:p w14:paraId="7231B545">
      <w:pPr>
        <w:spacing w:before="160" w:after="80"/>
      </w:pPr>
      <w:r>
        <w:rPr>
          <w:rFonts w:ascii="仿宋" w:hAnsi="仿宋" w:eastAsia="仿宋"/>
          <w:b/>
          <w:sz w:val="28"/>
        </w:rPr>
        <w:t>（一）绿博园从展会园区到城市生态绿肺的转型</w:t>
      </w:r>
    </w:p>
    <w:p w14:paraId="4E360F4B">
      <w:pPr>
        <w:spacing w:after="0" w:line="360" w:lineRule="auto"/>
        <w:ind w:firstLine="482"/>
      </w:pPr>
      <w:r>
        <w:rPr>
          <w:rFonts w:ascii="仿宋" w:hAnsi="仿宋" w:eastAsia="仿宋"/>
          <w:b w:val="0"/>
          <w:sz w:val="28"/>
        </w:rPr>
        <w:t>郑州绿博园始建于2009年，是为举办第二届中国绿化博览会而建设的主题园区。博览会结束后，园区保留并持续运营，逐渐从展会园区转型为城市生态绿肺和市民休闲目的地。通过实地考察和数据分析，笔者发现十年来园区在多个方面取得了显著进步。</w:t>
      </w:r>
    </w:p>
    <w:p w14:paraId="01252B0B">
      <w:pPr>
        <w:spacing w:after="0" w:line="360" w:lineRule="auto"/>
        <w:ind w:firstLine="482"/>
      </w:pPr>
      <w:r>
        <w:rPr>
          <w:rFonts w:ascii="仿宋" w:hAnsi="仿宋" w:eastAsia="仿宋"/>
          <w:b w:val="0"/>
          <w:sz w:val="28"/>
        </w:rPr>
        <w:t>在植被覆盖方面，园区内植物种类从建园初期的约1000种增加到目前的近2000种，涵盖乔木、灌木、草本、水生植物等多个类别。园区绿化覆盖率从2016年的约65%提升至2026年的约78%。保洁王阿姨告诉笔者："我刚来这里工作时，有些区域的树还比较小，现在都长成大树了，夏天遮阴效果特别好。"植被的增加不仅改善了园区的景观效果，也为鸟类、昆虫等野生动物提供了栖息环境。</w:t>
      </w:r>
    </w:p>
    <w:p w14:paraId="01AD95F5">
      <w:pPr>
        <w:spacing w:after="0" w:line="360" w:lineRule="auto"/>
        <w:ind w:firstLine="482"/>
        <w:rPr>
          <w:rFonts w:ascii="仿宋" w:hAnsi="仿宋" w:eastAsia="仿宋"/>
          <w:b w:val="0"/>
          <w:sz w:val="28"/>
        </w:rPr>
      </w:pPr>
      <w:r>
        <w:rPr>
          <w:rFonts w:ascii="仿宋" w:hAnsi="仿宋" w:eastAsia="仿宋"/>
          <w:b w:val="0"/>
          <w:sz w:val="28"/>
        </w:rPr>
        <w:t>在水体质量方面，园区湿地水生植物区的水质明显改善。王阿姨回忆道："2021年夏季湿地水体仍有异味，水鸟少见，如今每日可见白鹭栖息，最多一次观测到12只集群活动。"这一观察与官方数据相符。根据郑州市生态环境局发布的数据，园区湿地水体已从劣V类提升至IV类标准，部分区域达到III类。水体生态系统的恢复吸引了更多水鸟前来栖息，生物多样性明显增加。</w:t>
      </w:r>
    </w:p>
    <w:p w14:paraId="35907362">
      <w:pPr>
        <w:spacing w:after="0" w:line="360" w:lineRule="auto"/>
        <w:ind w:firstLine="482"/>
        <w:rPr>
          <w:rFonts w:ascii="仿宋" w:hAnsi="仿宋" w:eastAsia="仿宋"/>
          <w:b w:val="0"/>
          <w:sz w:val="28"/>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0"/>
        <w:gridCol w:w="3040"/>
        <w:gridCol w:w="3040"/>
      </w:tblGrid>
      <w:tr w14:paraId="7E1EF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3040" w:type="dxa"/>
          </w:tcPr>
          <w:p w14:paraId="716F04E9">
            <w:pPr>
              <w:spacing w:after="0" w:line="240" w:lineRule="auto"/>
              <w:jc w:val="center"/>
            </w:pPr>
            <w:r>
              <w:rPr>
                <w:rFonts w:ascii="仿宋" w:hAnsi="仿宋" w:eastAsia="仿宋"/>
                <w:b/>
                <w:sz w:val="21"/>
              </w:rPr>
              <w:t>指标项目</w:t>
            </w:r>
          </w:p>
        </w:tc>
        <w:tc>
          <w:tcPr>
            <w:tcW w:w="3040" w:type="dxa"/>
          </w:tcPr>
          <w:p w14:paraId="72E0DBF3">
            <w:pPr>
              <w:spacing w:after="0" w:line="240" w:lineRule="auto"/>
              <w:jc w:val="center"/>
            </w:pPr>
            <w:r>
              <w:rPr>
                <w:rFonts w:ascii="仿宋" w:hAnsi="仿宋" w:eastAsia="仿宋"/>
                <w:b/>
                <w:sz w:val="21"/>
              </w:rPr>
              <w:t>2016年</w:t>
            </w:r>
          </w:p>
        </w:tc>
        <w:tc>
          <w:tcPr>
            <w:tcW w:w="3040" w:type="dxa"/>
          </w:tcPr>
          <w:p w14:paraId="505AE864">
            <w:pPr>
              <w:spacing w:after="0" w:line="240" w:lineRule="auto"/>
              <w:jc w:val="center"/>
            </w:pPr>
            <w:r>
              <w:rPr>
                <w:rFonts w:ascii="仿宋" w:hAnsi="仿宋" w:eastAsia="仿宋"/>
                <w:b/>
                <w:sz w:val="21"/>
              </w:rPr>
              <w:t>2026年</w:t>
            </w:r>
          </w:p>
        </w:tc>
      </w:tr>
      <w:tr w14:paraId="1C7F7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3040" w:type="dxa"/>
          </w:tcPr>
          <w:p w14:paraId="2EE51D9E">
            <w:pPr>
              <w:spacing w:after="0" w:line="240" w:lineRule="auto"/>
              <w:jc w:val="center"/>
            </w:pPr>
            <w:r>
              <w:rPr>
                <w:rFonts w:ascii="仿宋" w:hAnsi="仿宋" w:eastAsia="仿宋"/>
                <w:b w:val="0"/>
                <w:sz w:val="21"/>
              </w:rPr>
              <w:t>绿化覆盖率</w:t>
            </w:r>
          </w:p>
        </w:tc>
        <w:tc>
          <w:tcPr>
            <w:tcW w:w="3040" w:type="dxa"/>
          </w:tcPr>
          <w:p w14:paraId="345E6A01">
            <w:pPr>
              <w:spacing w:after="0" w:line="240" w:lineRule="auto"/>
              <w:jc w:val="center"/>
            </w:pPr>
            <w:r>
              <w:rPr>
                <w:rFonts w:ascii="仿宋" w:hAnsi="仿宋" w:eastAsia="仿宋"/>
                <w:b w:val="0"/>
                <w:sz w:val="21"/>
              </w:rPr>
              <w:t>约65%</w:t>
            </w:r>
          </w:p>
        </w:tc>
        <w:tc>
          <w:tcPr>
            <w:tcW w:w="3040" w:type="dxa"/>
          </w:tcPr>
          <w:p w14:paraId="3DBF5F00">
            <w:pPr>
              <w:spacing w:after="0" w:line="240" w:lineRule="auto"/>
              <w:jc w:val="center"/>
            </w:pPr>
            <w:r>
              <w:rPr>
                <w:rFonts w:ascii="仿宋" w:hAnsi="仿宋" w:eastAsia="仿宋"/>
                <w:b w:val="0"/>
                <w:sz w:val="21"/>
              </w:rPr>
              <w:t>约78%</w:t>
            </w:r>
          </w:p>
        </w:tc>
      </w:tr>
      <w:tr w14:paraId="0A919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3040" w:type="dxa"/>
          </w:tcPr>
          <w:p w14:paraId="64D97BA4">
            <w:pPr>
              <w:spacing w:after="0" w:line="240" w:lineRule="auto"/>
              <w:jc w:val="center"/>
            </w:pPr>
            <w:r>
              <w:rPr>
                <w:rFonts w:ascii="仿宋" w:hAnsi="仿宋" w:eastAsia="仿宋"/>
                <w:b w:val="0"/>
                <w:sz w:val="21"/>
              </w:rPr>
              <w:t>植物种类</w:t>
            </w:r>
          </w:p>
        </w:tc>
        <w:tc>
          <w:tcPr>
            <w:tcW w:w="3040" w:type="dxa"/>
          </w:tcPr>
          <w:p w14:paraId="31DCBD58">
            <w:pPr>
              <w:spacing w:after="0" w:line="240" w:lineRule="auto"/>
              <w:jc w:val="center"/>
            </w:pPr>
            <w:r>
              <w:rPr>
                <w:rFonts w:ascii="仿宋" w:hAnsi="仿宋" w:eastAsia="仿宋"/>
                <w:b w:val="0"/>
                <w:sz w:val="21"/>
              </w:rPr>
              <w:t>约1000种</w:t>
            </w:r>
          </w:p>
        </w:tc>
        <w:tc>
          <w:tcPr>
            <w:tcW w:w="3040" w:type="dxa"/>
          </w:tcPr>
          <w:p w14:paraId="08CA9237">
            <w:pPr>
              <w:spacing w:after="0" w:line="240" w:lineRule="auto"/>
              <w:jc w:val="center"/>
            </w:pPr>
            <w:r>
              <w:rPr>
                <w:rFonts w:ascii="仿宋" w:hAnsi="仿宋" w:eastAsia="仿宋"/>
                <w:b w:val="0"/>
                <w:sz w:val="21"/>
              </w:rPr>
              <w:t>近2000种</w:t>
            </w:r>
          </w:p>
        </w:tc>
      </w:tr>
      <w:tr w14:paraId="1171C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3040" w:type="dxa"/>
          </w:tcPr>
          <w:p w14:paraId="482573F3">
            <w:pPr>
              <w:spacing w:after="0" w:line="240" w:lineRule="auto"/>
              <w:jc w:val="center"/>
            </w:pPr>
            <w:r>
              <w:rPr>
                <w:rFonts w:ascii="仿宋" w:hAnsi="仿宋" w:eastAsia="仿宋"/>
                <w:b w:val="0"/>
                <w:sz w:val="21"/>
              </w:rPr>
              <w:t>湿地水体水质</w:t>
            </w:r>
          </w:p>
        </w:tc>
        <w:tc>
          <w:tcPr>
            <w:tcW w:w="3040" w:type="dxa"/>
          </w:tcPr>
          <w:p w14:paraId="52BA2697">
            <w:pPr>
              <w:spacing w:after="0" w:line="240" w:lineRule="auto"/>
              <w:jc w:val="center"/>
            </w:pPr>
            <w:r>
              <w:rPr>
                <w:rFonts w:ascii="仿宋" w:hAnsi="仿宋" w:eastAsia="仿宋"/>
                <w:b w:val="0"/>
                <w:sz w:val="21"/>
              </w:rPr>
              <w:t>劣V类</w:t>
            </w:r>
          </w:p>
        </w:tc>
        <w:tc>
          <w:tcPr>
            <w:tcW w:w="3040" w:type="dxa"/>
          </w:tcPr>
          <w:p w14:paraId="1EEE29BF">
            <w:pPr>
              <w:spacing w:after="0" w:line="240" w:lineRule="auto"/>
              <w:jc w:val="center"/>
            </w:pPr>
            <w:r>
              <w:rPr>
                <w:rFonts w:ascii="仿宋" w:hAnsi="仿宋" w:eastAsia="仿宋"/>
                <w:b w:val="0"/>
                <w:sz w:val="21"/>
              </w:rPr>
              <w:t>IV类（部分III类）</w:t>
            </w:r>
          </w:p>
        </w:tc>
      </w:tr>
      <w:tr w14:paraId="6D077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3040" w:type="dxa"/>
          </w:tcPr>
          <w:p w14:paraId="0615C114">
            <w:pPr>
              <w:spacing w:after="0" w:line="240" w:lineRule="auto"/>
              <w:jc w:val="center"/>
            </w:pPr>
            <w:r>
              <w:rPr>
                <w:rFonts w:ascii="仿宋" w:hAnsi="仿宋" w:eastAsia="仿宋"/>
                <w:b w:val="0"/>
                <w:sz w:val="21"/>
              </w:rPr>
              <w:t>年接待游客量</w:t>
            </w:r>
          </w:p>
        </w:tc>
        <w:tc>
          <w:tcPr>
            <w:tcW w:w="3040" w:type="dxa"/>
          </w:tcPr>
          <w:p w14:paraId="30D2DFC3">
            <w:pPr>
              <w:spacing w:after="0" w:line="240" w:lineRule="auto"/>
              <w:jc w:val="center"/>
            </w:pPr>
            <w:r>
              <w:rPr>
                <w:rFonts w:ascii="仿宋" w:hAnsi="仿宋" w:eastAsia="仿宋"/>
                <w:b w:val="0"/>
                <w:sz w:val="21"/>
              </w:rPr>
              <w:t>约80万人次</w:t>
            </w:r>
          </w:p>
        </w:tc>
        <w:tc>
          <w:tcPr>
            <w:tcW w:w="3040" w:type="dxa"/>
          </w:tcPr>
          <w:p w14:paraId="4BC45E96">
            <w:pPr>
              <w:spacing w:after="0" w:line="240" w:lineRule="auto"/>
              <w:jc w:val="center"/>
            </w:pPr>
            <w:r>
              <w:rPr>
                <w:rFonts w:ascii="仿宋" w:hAnsi="仿宋" w:eastAsia="仿宋"/>
                <w:b w:val="0"/>
                <w:sz w:val="21"/>
              </w:rPr>
              <w:t>约150万人次</w:t>
            </w:r>
          </w:p>
        </w:tc>
      </w:tr>
      <w:tr w14:paraId="6F2ED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040" w:type="dxa"/>
          </w:tcPr>
          <w:p w14:paraId="4DB48F0D">
            <w:pPr>
              <w:spacing w:after="0" w:line="240" w:lineRule="auto"/>
              <w:jc w:val="center"/>
            </w:pPr>
            <w:r>
              <w:rPr>
                <w:rFonts w:ascii="仿宋" w:hAnsi="仿宋" w:eastAsia="仿宋"/>
                <w:b w:val="0"/>
                <w:sz w:val="21"/>
              </w:rPr>
              <w:t>鸟类观测种类</w:t>
            </w:r>
          </w:p>
        </w:tc>
        <w:tc>
          <w:tcPr>
            <w:tcW w:w="3040" w:type="dxa"/>
          </w:tcPr>
          <w:p w14:paraId="1C0187CB">
            <w:pPr>
              <w:spacing w:after="0" w:line="240" w:lineRule="auto"/>
              <w:jc w:val="center"/>
            </w:pPr>
            <w:r>
              <w:rPr>
                <w:rFonts w:ascii="仿宋" w:hAnsi="仿宋" w:eastAsia="仿宋"/>
                <w:b w:val="0"/>
                <w:sz w:val="21"/>
              </w:rPr>
              <w:t>约50种</w:t>
            </w:r>
          </w:p>
        </w:tc>
        <w:tc>
          <w:tcPr>
            <w:tcW w:w="3040" w:type="dxa"/>
          </w:tcPr>
          <w:p w14:paraId="00251DBE">
            <w:pPr>
              <w:spacing w:after="0" w:line="240" w:lineRule="auto"/>
              <w:jc w:val="center"/>
            </w:pPr>
            <w:r>
              <w:rPr>
                <w:rFonts w:ascii="仿宋" w:hAnsi="仿宋" w:eastAsia="仿宋"/>
                <w:b w:val="0"/>
                <w:sz w:val="21"/>
              </w:rPr>
              <w:t>约80种</w:t>
            </w:r>
          </w:p>
        </w:tc>
      </w:tr>
    </w:tbl>
    <w:p w14:paraId="6917A707">
      <w:pPr>
        <w:spacing w:after="0" w:line="360" w:lineRule="auto"/>
        <w:jc w:val="center"/>
        <w:rPr>
          <w:sz w:val="21"/>
          <w:szCs w:val="21"/>
        </w:rPr>
      </w:pPr>
      <w:r>
        <w:rPr>
          <w:rFonts w:hint="eastAsia" w:ascii="仿宋" w:hAnsi="仿宋" w:eastAsia="仿宋" w:cs="仿宋"/>
          <w:sz w:val="21"/>
          <w:szCs w:val="21"/>
        </w:rPr>
        <w:t xml:space="preserve">表 </w:t>
      </w: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SEQ 表 \* ARABIC </w:instrText>
      </w:r>
      <w:r>
        <w:rPr>
          <w:rFonts w:hint="eastAsia" w:ascii="仿宋" w:hAnsi="仿宋" w:eastAsia="仿宋" w:cs="仿宋"/>
          <w:sz w:val="21"/>
          <w:szCs w:val="21"/>
        </w:rPr>
        <w:fldChar w:fldCharType="separate"/>
      </w:r>
      <w:r>
        <w:rPr>
          <w:rFonts w:hint="eastAsia" w:ascii="仿宋" w:hAnsi="仿宋" w:eastAsia="仿宋" w:cs="仿宋"/>
          <w:sz w:val="21"/>
          <w:szCs w:val="21"/>
        </w:rPr>
        <w:t>1</w:t>
      </w:r>
      <w:r>
        <w:rPr>
          <w:rFonts w:hint="eastAsia" w:ascii="仿宋" w:hAnsi="仿宋" w:eastAsia="仿宋" w:cs="仿宋"/>
          <w:sz w:val="21"/>
          <w:szCs w:val="21"/>
        </w:rPr>
        <w:fldChar w:fldCharType="end"/>
      </w:r>
      <w:r>
        <w:rPr>
          <w:rFonts w:hint="eastAsia" w:ascii="仿宋" w:hAnsi="仿宋" w:eastAsia="仿宋" w:cs="仿宋"/>
          <w:sz w:val="21"/>
          <w:szCs w:val="21"/>
          <w:lang w:val="en-US" w:eastAsia="zh-CN"/>
        </w:rPr>
        <w:t>:</w:t>
      </w:r>
      <w:r>
        <w:rPr>
          <w:rFonts w:hint="eastAsia" w:ascii="仿宋" w:hAnsi="仿宋" w:eastAsia="仿宋" w:cs="仿宋"/>
          <w:b w:val="0"/>
          <w:sz w:val="21"/>
          <w:szCs w:val="21"/>
        </w:rPr>
        <w:t>郑州绿博园2016年与2026年核心生态指标对比</w:t>
      </w:r>
    </w:p>
    <w:p w14:paraId="377073F3">
      <w:pPr>
        <w:spacing w:after="0" w:line="360" w:lineRule="auto"/>
      </w:pPr>
      <w:r>
        <w:rPr>
          <w:rFonts w:ascii="仿宋" w:hAnsi="仿宋" w:eastAsia="仿宋"/>
          <w:b w:val="0"/>
          <w:sz w:val="28"/>
        </w:rPr>
        <w:t>数据来源：郑州绿博园官方公众号、河南省林业局公开数据</w:t>
      </w:r>
    </w:p>
    <w:p w14:paraId="47606BA4">
      <w:pPr>
        <w:spacing w:after="120"/>
        <w:jc w:val="center"/>
        <w:rPr>
          <w:rFonts w:ascii="仿宋" w:hAnsi="仿宋" w:eastAsia="仿宋"/>
          <w:b w:val="0"/>
          <w:sz w:val="21"/>
        </w:rPr>
      </w:pPr>
      <w:r>
        <w:rPr>
          <w:rFonts w:ascii="仿宋" w:hAnsi="仿宋" w:eastAsia="仿宋"/>
          <w:b w:val="0"/>
          <w:sz w:val="21"/>
        </w:rPr>
        <w:drawing>
          <wp:inline distT="0" distB="0" distL="114300" distR="114300">
            <wp:extent cx="5355590" cy="4018915"/>
            <wp:effectExtent l="0" t="0" r="3810" b="6985"/>
            <wp:docPr id="2" name="图片 2" descr="1de448990929f34d1db7673442b164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de448990929f34d1db7673442b164f9"/>
                    <pic:cNvPicPr>
                      <a:picLocks noChangeAspect="1"/>
                    </pic:cNvPicPr>
                  </pic:nvPicPr>
                  <pic:blipFill>
                    <a:blip r:embed="rId8"/>
                    <a:stretch>
                      <a:fillRect/>
                    </a:stretch>
                  </pic:blipFill>
                  <pic:spPr>
                    <a:xfrm>
                      <a:off x="0" y="0"/>
                      <a:ext cx="5355590" cy="4018915"/>
                    </a:xfrm>
                    <a:prstGeom prst="rect">
                      <a:avLst/>
                    </a:prstGeom>
                  </pic:spPr>
                </pic:pic>
              </a:graphicData>
            </a:graphic>
          </wp:inline>
        </w:drawing>
      </w:r>
    </w:p>
    <w:p w14:paraId="37D79AB2">
      <w:pPr>
        <w:spacing w:after="120"/>
        <w:jc w:val="center"/>
      </w:pPr>
      <w:r>
        <w:rPr>
          <w:rFonts w:ascii="仿宋" w:hAnsi="仿宋" w:eastAsia="仿宋"/>
          <w:b w:val="0"/>
          <w:sz w:val="21"/>
        </w:rPr>
        <w:t>图1：郑州绿博园湿地水生植物区（作者摄，2026年4月3日）</w:t>
      </w:r>
    </w:p>
    <w:p w14:paraId="11369B9E">
      <w:pPr>
        <w:spacing w:after="0" w:line="360" w:lineRule="auto"/>
        <w:ind w:firstLine="482"/>
      </w:pPr>
      <w:r>
        <w:rPr>
          <w:rFonts w:ascii="仿宋" w:hAnsi="仿宋" w:eastAsia="仿宋"/>
          <w:b w:val="0"/>
          <w:sz w:val="28"/>
        </w:rPr>
        <w:t>在科普功能方面，园区生态科普馆设置了多个互动展区，包括植物识别互动设备、生态知识问答系统等。笔者在科普馆停留约1小时，观察到共有7名儿童使用植物识别互动设备，其中1名学龄前儿童可准确说出10余种常见植物名称。实习讲解员小周介绍："周末和节假日会有很多家长带孩子来参观，学校也会组织研学活动。我们正在更新部分展项内容，增加更多本地特色植物的介绍。"科普馆作为园区的重要功能区域，在生态教育方面发挥着积极作用。</w:t>
      </w:r>
    </w:p>
    <w:p w14:paraId="5473D613">
      <w:pPr>
        <w:spacing w:after="120"/>
        <w:jc w:val="center"/>
        <w:rPr>
          <w:rFonts w:ascii="仿宋" w:hAnsi="仿宋" w:eastAsia="仿宋"/>
          <w:b w:val="0"/>
          <w:sz w:val="21"/>
        </w:rPr>
      </w:pPr>
      <w:r>
        <w:rPr>
          <w:rFonts w:ascii="仿宋" w:hAnsi="仿宋" w:eastAsia="仿宋"/>
          <w:b w:val="0"/>
          <w:sz w:val="21"/>
        </w:rPr>
        <w:drawing>
          <wp:inline distT="0" distB="0" distL="114300" distR="114300">
            <wp:extent cx="5062855" cy="3796030"/>
            <wp:effectExtent l="0" t="0" r="4445" b="1270"/>
            <wp:docPr id="3" name="图片 3" descr="3f343eddab4725901805c2c66a84e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f343eddab4725901805c2c66a84e250"/>
                    <pic:cNvPicPr>
                      <a:picLocks noChangeAspect="1"/>
                    </pic:cNvPicPr>
                  </pic:nvPicPr>
                  <pic:blipFill>
                    <a:blip r:embed="rId9"/>
                    <a:stretch>
                      <a:fillRect/>
                    </a:stretch>
                  </pic:blipFill>
                  <pic:spPr>
                    <a:xfrm>
                      <a:off x="0" y="0"/>
                      <a:ext cx="5062855" cy="3796030"/>
                    </a:xfrm>
                    <a:prstGeom prst="rect">
                      <a:avLst/>
                    </a:prstGeom>
                  </pic:spPr>
                </pic:pic>
              </a:graphicData>
            </a:graphic>
          </wp:inline>
        </w:drawing>
      </w:r>
    </w:p>
    <w:p w14:paraId="391D4D33">
      <w:pPr>
        <w:spacing w:after="120"/>
        <w:jc w:val="center"/>
      </w:pPr>
      <w:r>
        <w:rPr>
          <w:rFonts w:ascii="仿宋" w:hAnsi="仿宋" w:eastAsia="仿宋"/>
          <w:b w:val="0"/>
          <w:sz w:val="21"/>
        </w:rPr>
        <w:t>图2：郑州绿博园生态科普馆植物识别互动区（作者摄，2026年4月3日）</w:t>
      </w:r>
    </w:p>
    <w:p w14:paraId="7B795EB9">
      <w:pPr>
        <w:spacing w:before="160" w:after="80"/>
      </w:pPr>
      <w:r>
        <w:rPr>
          <w:rFonts w:ascii="仿宋" w:hAnsi="仿宋" w:eastAsia="仿宋"/>
          <w:b/>
          <w:sz w:val="28"/>
        </w:rPr>
        <w:t>（二）贾鲁河治理与郑州整体生态建设成效</w:t>
      </w:r>
    </w:p>
    <w:p w14:paraId="5FE3A6E4">
      <w:pPr>
        <w:spacing w:after="0" w:line="360" w:lineRule="auto"/>
        <w:ind w:firstLine="482"/>
      </w:pPr>
      <w:r>
        <w:rPr>
          <w:rFonts w:ascii="仿宋" w:hAnsi="仿宋" w:eastAsia="仿宋"/>
          <w:b w:val="0"/>
          <w:sz w:val="28"/>
        </w:rPr>
        <w:t>贾鲁河是郑州市重要的河流水系，其治理成效是观察郑州生态建设的重要指标。需要说明的是，本次调研未对贾鲁河进行实地考察，相关数据均来自郑州市生态环境局官方发布。</w:t>
      </w:r>
    </w:p>
    <w:p w14:paraId="33EFF8F7">
      <w:pPr>
        <w:spacing w:after="0" w:line="360" w:lineRule="auto"/>
        <w:ind w:firstLine="482"/>
      </w:pPr>
      <w:r>
        <w:rPr>
          <w:rFonts w:ascii="仿宋" w:hAnsi="仿宋" w:eastAsia="仿宋"/>
          <w:b w:val="0"/>
          <w:sz w:val="28"/>
        </w:rPr>
        <w:t>根据郑州市生态环境局2025年度公报，贾鲁河郑州段水质已从2016年的劣V类提升至2026年的III类标准，部分河段达到II类。河道沿线建成多个生态公园，形成了贯穿城市的生态廊道。在生物多样性方面，贾鲁河郑州段鱼类种类从2016年的约15种增加到2026年的约35种，水生植物种类从约20种增加到约50种，河道两岸绿化带宽度从平均15米扩展至平均50米。这些数据表明，贾鲁河治理取得了显著成效，从昔日的"臭水沟"转变为城市的"景观河"。</w:t>
      </w:r>
      <w:bookmarkStart w:id="0" w:name="_GoBack"/>
      <w:bookmarkEnd w:id="0"/>
    </w:p>
    <w:p w14:paraId="2D16DE41">
      <w:pPr>
        <w:spacing w:after="0" w:line="360" w:lineRule="auto"/>
        <w:jc w:val="center"/>
        <w:rPr>
          <w:rFonts w:hint="eastAsia" w:ascii="仿宋" w:hAnsi="仿宋" w:eastAsia="仿宋"/>
          <w:b w:val="0"/>
          <w:sz w:val="28"/>
          <w:lang w:eastAsia="zh-CN"/>
        </w:rPr>
      </w:pPr>
      <w:r>
        <w:rPr>
          <w:rFonts w:hint="eastAsia" w:ascii="仿宋" w:hAnsi="仿宋" w:eastAsia="仿宋"/>
          <w:b w:val="0"/>
          <w:sz w:val="28"/>
          <w:lang w:eastAsia="zh-CN"/>
        </w:rPr>
        <w:drawing>
          <wp:inline distT="0" distB="0" distL="114300" distR="114300">
            <wp:extent cx="6187440" cy="3865880"/>
            <wp:effectExtent l="0" t="0" r="10160" b="7620"/>
            <wp:docPr id="7" name="图片 7" descr="图2_贾鲁河水质趋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2_贾鲁河水质趋势图"/>
                    <pic:cNvPicPr>
                      <a:picLocks noChangeAspect="1"/>
                    </pic:cNvPicPr>
                  </pic:nvPicPr>
                  <pic:blipFill>
                    <a:blip r:embed="rId10"/>
                    <a:stretch>
                      <a:fillRect/>
                    </a:stretch>
                  </pic:blipFill>
                  <pic:spPr>
                    <a:xfrm>
                      <a:off x="0" y="0"/>
                      <a:ext cx="6187440" cy="3865880"/>
                    </a:xfrm>
                    <a:prstGeom prst="rect">
                      <a:avLst/>
                    </a:prstGeom>
                  </pic:spPr>
                </pic:pic>
              </a:graphicData>
            </a:graphic>
          </wp:inline>
        </w:drawing>
      </w:r>
    </w:p>
    <w:p w14:paraId="5AB2082E">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eastAsia" w:ascii="仿宋" w:hAnsi="仿宋" w:eastAsia="仿宋" w:cs="仿宋"/>
          <w:b w:val="0"/>
          <w:bCs w:val="0"/>
          <w:i w:val="0"/>
          <w:iCs w:val="0"/>
          <w:color w:val="auto"/>
          <w:kern w:val="0"/>
          <w:sz w:val="21"/>
          <w:szCs w:val="21"/>
          <w:bdr w:val="none" w:color="auto" w:sz="0" w:space="0"/>
          <w:lang w:val="en-US" w:eastAsia="zh-CN" w:bidi="ar"/>
        </w:rPr>
      </w:pPr>
      <w:r>
        <w:rPr>
          <w:rFonts w:hint="eastAsia" w:ascii="仿宋" w:hAnsi="仿宋" w:eastAsia="仿宋" w:cs="仿宋"/>
          <w:sz w:val="21"/>
          <w:szCs w:val="21"/>
        </w:rPr>
        <w:t xml:space="preserve">图 </w:t>
      </w:r>
      <w:r>
        <w:rPr>
          <w:rFonts w:hint="eastAsia" w:ascii="仿宋" w:hAnsi="仿宋" w:eastAsia="仿宋" w:cs="仿宋"/>
          <w:sz w:val="21"/>
          <w:szCs w:val="21"/>
          <w:lang w:val="en-US" w:eastAsia="zh-CN"/>
        </w:rPr>
        <w:t>3</w:t>
      </w:r>
      <w:r>
        <w:rPr>
          <w:rFonts w:hint="eastAsia" w:ascii="仿宋" w:hAnsi="仿宋" w:eastAsia="仿宋" w:cs="仿宋"/>
          <w:b w:val="0"/>
          <w:bCs w:val="0"/>
          <w:i w:val="0"/>
          <w:iCs w:val="0"/>
          <w:color w:val="auto"/>
          <w:kern w:val="0"/>
          <w:sz w:val="21"/>
          <w:szCs w:val="21"/>
          <w:bdr w:val="none" w:color="auto" w:sz="0" w:space="0"/>
          <w:lang w:val="en-US" w:eastAsia="zh-CN" w:bidi="ar"/>
        </w:rPr>
        <w:t>：贾鲁河（中牟段）水质改善趋势图（2021-2025）</w:t>
      </w:r>
    </w:p>
    <w:p w14:paraId="6082B18D">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eastAsia" w:ascii="仿宋" w:hAnsi="仿宋" w:eastAsia="仿宋" w:cs="仿宋"/>
          <w:b w:val="0"/>
          <w:bCs w:val="0"/>
          <w:i w:val="0"/>
          <w:iCs w:val="0"/>
          <w:color w:val="auto"/>
          <w:kern w:val="0"/>
          <w:sz w:val="21"/>
          <w:szCs w:val="21"/>
          <w:bdr w:val="none" w:color="auto" w:sz="0" w:space="0"/>
          <w:lang w:val="en-US" w:eastAsia="zh-CN" w:bidi="ar"/>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5BBAB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08DE5282">
            <w:pPr>
              <w:spacing w:after="0" w:line="240" w:lineRule="auto"/>
              <w:jc w:val="center"/>
            </w:pPr>
            <w:r>
              <w:rPr>
                <w:rFonts w:ascii="仿宋" w:hAnsi="仿宋" w:eastAsia="仿宋"/>
                <w:b/>
                <w:sz w:val="21"/>
              </w:rPr>
              <w:t>指标项目</w:t>
            </w:r>
          </w:p>
        </w:tc>
        <w:tc>
          <w:tcPr>
            <w:tcW w:w="3041" w:type="dxa"/>
          </w:tcPr>
          <w:p w14:paraId="568E2AAB">
            <w:pPr>
              <w:spacing w:after="0" w:line="240" w:lineRule="auto"/>
              <w:jc w:val="center"/>
            </w:pPr>
            <w:r>
              <w:rPr>
                <w:rFonts w:ascii="仿宋" w:hAnsi="仿宋" w:eastAsia="仿宋"/>
                <w:b/>
                <w:sz w:val="21"/>
              </w:rPr>
              <w:t>2016年</w:t>
            </w:r>
          </w:p>
        </w:tc>
        <w:tc>
          <w:tcPr>
            <w:tcW w:w="3041" w:type="dxa"/>
          </w:tcPr>
          <w:p w14:paraId="0E674066">
            <w:pPr>
              <w:spacing w:after="0" w:line="240" w:lineRule="auto"/>
              <w:jc w:val="center"/>
            </w:pPr>
            <w:r>
              <w:rPr>
                <w:rFonts w:ascii="仿宋" w:hAnsi="仿宋" w:eastAsia="仿宋"/>
                <w:b/>
                <w:sz w:val="21"/>
              </w:rPr>
              <w:t>2026年</w:t>
            </w:r>
          </w:p>
        </w:tc>
      </w:tr>
      <w:tr w14:paraId="3DC3B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5BD28873">
            <w:pPr>
              <w:spacing w:after="0" w:line="240" w:lineRule="auto"/>
              <w:jc w:val="center"/>
            </w:pPr>
            <w:r>
              <w:rPr>
                <w:rFonts w:ascii="仿宋" w:hAnsi="仿宋" w:eastAsia="仿宋"/>
                <w:b w:val="0"/>
                <w:sz w:val="21"/>
              </w:rPr>
              <w:t>水质类别</w:t>
            </w:r>
          </w:p>
        </w:tc>
        <w:tc>
          <w:tcPr>
            <w:tcW w:w="3041" w:type="dxa"/>
          </w:tcPr>
          <w:p w14:paraId="1E073988">
            <w:pPr>
              <w:spacing w:after="0" w:line="240" w:lineRule="auto"/>
              <w:jc w:val="center"/>
            </w:pPr>
            <w:r>
              <w:rPr>
                <w:rFonts w:ascii="仿宋" w:hAnsi="仿宋" w:eastAsia="仿宋"/>
                <w:b w:val="0"/>
                <w:sz w:val="21"/>
              </w:rPr>
              <w:t>劣V类</w:t>
            </w:r>
          </w:p>
        </w:tc>
        <w:tc>
          <w:tcPr>
            <w:tcW w:w="3041" w:type="dxa"/>
          </w:tcPr>
          <w:p w14:paraId="5B936695">
            <w:pPr>
              <w:spacing w:after="0" w:line="240" w:lineRule="auto"/>
              <w:jc w:val="center"/>
            </w:pPr>
            <w:r>
              <w:rPr>
                <w:rFonts w:ascii="仿宋" w:hAnsi="仿宋" w:eastAsia="仿宋"/>
                <w:b w:val="0"/>
                <w:sz w:val="21"/>
              </w:rPr>
              <w:t>III类（部分II类）</w:t>
            </w:r>
          </w:p>
        </w:tc>
      </w:tr>
      <w:tr w14:paraId="16216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2845B631">
            <w:pPr>
              <w:spacing w:after="0" w:line="240" w:lineRule="auto"/>
              <w:jc w:val="center"/>
            </w:pPr>
            <w:r>
              <w:rPr>
                <w:rFonts w:ascii="仿宋" w:hAnsi="仿宋" w:eastAsia="仿宋"/>
                <w:b w:val="0"/>
                <w:sz w:val="21"/>
              </w:rPr>
              <w:t>鱼类种类</w:t>
            </w:r>
          </w:p>
        </w:tc>
        <w:tc>
          <w:tcPr>
            <w:tcW w:w="3041" w:type="dxa"/>
          </w:tcPr>
          <w:p w14:paraId="371D7F4C">
            <w:pPr>
              <w:spacing w:after="0" w:line="240" w:lineRule="auto"/>
              <w:jc w:val="center"/>
            </w:pPr>
            <w:r>
              <w:rPr>
                <w:rFonts w:ascii="仿宋" w:hAnsi="仿宋" w:eastAsia="仿宋"/>
                <w:b w:val="0"/>
                <w:sz w:val="21"/>
              </w:rPr>
              <w:t>约15种</w:t>
            </w:r>
          </w:p>
        </w:tc>
        <w:tc>
          <w:tcPr>
            <w:tcW w:w="3041" w:type="dxa"/>
          </w:tcPr>
          <w:p w14:paraId="66415FA6">
            <w:pPr>
              <w:spacing w:after="0" w:line="240" w:lineRule="auto"/>
              <w:jc w:val="center"/>
            </w:pPr>
            <w:r>
              <w:rPr>
                <w:rFonts w:ascii="仿宋" w:hAnsi="仿宋" w:eastAsia="仿宋"/>
                <w:b w:val="0"/>
                <w:sz w:val="21"/>
              </w:rPr>
              <w:t>约35种</w:t>
            </w:r>
          </w:p>
        </w:tc>
      </w:tr>
      <w:tr w14:paraId="7BB4C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263BF0F4">
            <w:pPr>
              <w:spacing w:after="0" w:line="240" w:lineRule="auto"/>
              <w:jc w:val="center"/>
            </w:pPr>
            <w:r>
              <w:rPr>
                <w:rFonts w:ascii="仿宋" w:hAnsi="仿宋" w:eastAsia="仿宋"/>
                <w:b w:val="0"/>
                <w:sz w:val="21"/>
              </w:rPr>
              <w:t>水生植物种类</w:t>
            </w:r>
          </w:p>
        </w:tc>
        <w:tc>
          <w:tcPr>
            <w:tcW w:w="3041" w:type="dxa"/>
          </w:tcPr>
          <w:p w14:paraId="4CA4107B">
            <w:pPr>
              <w:spacing w:after="0" w:line="240" w:lineRule="auto"/>
              <w:jc w:val="center"/>
            </w:pPr>
            <w:r>
              <w:rPr>
                <w:rFonts w:ascii="仿宋" w:hAnsi="仿宋" w:eastAsia="仿宋"/>
                <w:b w:val="0"/>
                <w:sz w:val="21"/>
              </w:rPr>
              <w:t>约20种</w:t>
            </w:r>
          </w:p>
        </w:tc>
        <w:tc>
          <w:tcPr>
            <w:tcW w:w="3041" w:type="dxa"/>
          </w:tcPr>
          <w:p w14:paraId="45D3139F">
            <w:pPr>
              <w:spacing w:after="0" w:line="240" w:lineRule="auto"/>
              <w:jc w:val="center"/>
            </w:pPr>
            <w:r>
              <w:rPr>
                <w:rFonts w:ascii="仿宋" w:hAnsi="仿宋" w:eastAsia="仿宋"/>
                <w:b w:val="0"/>
                <w:sz w:val="21"/>
              </w:rPr>
              <w:t>约50种</w:t>
            </w:r>
          </w:p>
        </w:tc>
      </w:tr>
      <w:tr w14:paraId="356CE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449B4FF3">
            <w:pPr>
              <w:spacing w:after="0" w:line="240" w:lineRule="auto"/>
              <w:jc w:val="center"/>
            </w:pPr>
            <w:r>
              <w:rPr>
                <w:rFonts w:ascii="仿宋" w:hAnsi="仿宋" w:eastAsia="仿宋"/>
                <w:b w:val="0"/>
                <w:sz w:val="21"/>
              </w:rPr>
              <w:t>两岸绿化带宽度</w:t>
            </w:r>
          </w:p>
        </w:tc>
        <w:tc>
          <w:tcPr>
            <w:tcW w:w="3041" w:type="dxa"/>
          </w:tcPr>
          <w:p w14:paraId="2DC6D550">
            <w:pPr>
              <w:spacing w:after="0" w:line="240" w:lineRule="auto"/>
              <w:jc w:val="center"/>
            </w:pPr>
            <w:r>
              <w:rPr>
                <w:rFonts w:ascii="仿宋" w:hAnsi="仿宋" w:eastAsia="仿宋"/>
                <w:b w:val="0"/>
                <w:sz w:val="21"/>
              </w:rPr>
              <w:t>平均15米</w:t>
            </w:r>
          </w:p>
        </w:tc>
        <w:tc>
          <w:tcPr>
            <w:tcW w:w="3041" w:type="dxa"/>
          </w:tcPr>
          <w:p w14:paraId="7DADF00A">
            <w:pPr>
              <w:spacing w:after="0" w:line="240" w:lineRule="auto"/>
              <w:jc w:val="center"/>
            </w:pPr>
            <w:r>
              <w:rPr>
                <w:rFonts w:ascii="仿宋" w:hAnsi="仿宋" w:eastAsia="仿宋"/>
                <w:b w:val="0"/>
                <w:sz w:val="21"/>
              </w:rPr>
              <w:t>平均50米</w:t>
            </w:r>
          </w:p>
        </w:tc>
      </w:tr>
    </w:tbl>
    <w:p w14:paraId="2159D8DF">
      <w:pPr>
        <w:spacing w:after="0" w:line="360" w:lineRule="auto"/>
        <w:jc w:val="center"/>
      </w:pPr>
      <w:r>
        <w:rPr>
          <w:rFonts w:hint="eastAsia" w:ascii="仿宋" w:hAnsi="仿宋" w:eastAsia="仿宋" w:cs="仿宋"/>
          <w:sz w:val="21"/>
          <w:szCs w:val="21"/>
        </w:rPr>
        <w:t xml:space="preserve">表 </w:t>
      </w: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SEQ 表 \* ARABIC </w:instrText>
      </w:r>
      <w:r>
        <w:rPr>
          <w:rFonts w:hint="eastAsia" w:ascii="仿宋" w:hAnsi="仿宋" w:eastAsia="仿宋" w:cs="仿宋"/>
          <w:sz w:val="21"/>
          <w:szCs w:val="21"/>
        </w:rPr>
        <w:fldChar w:fldCharType="separate"/>
      </w:r>
      <w:r>
        <w:rPr>
          <w:rFonts w:hint="eastAsia" w:ascii="仿宋" w:hAnsi="仿宋" w:eastAsia="仿宋" w:cs="仿宋"/>
          <w:sz w:val="21"/>
          <w:szCs w:val="21"/>
        </w:rPr>
        <w:t>2</w:t>
      </w:r>
      <w:r>
        <w:rPr>
          <w:rFonts w:hint="eastAsia" w:ascii="仿宋" w:hAnsi="仿宋" w:eastAsia="仿宋" w:cs="仿宋"/>
          <w:sz w:val="21"/>
          <w:szCs w:val="21"/>
        </w:rPr>
        <w:fldChar w:fldCharType="end"/>
      </w:r>
      <w:r>
        <w:rPr>
          <w:rFonts w:hint="eastAsia" w:ascii="仿宋" w:hAnsi="仿宋" w:eastAsia="仿宋" w:cs="仿宋"/>
          <w:b w:val="0"/>
          <w:sz w:val="21"/>
          <w:szCs w:val="21"/>
        </w:rPr>
        <w:t>：贾鲁河郑州段2016年与2026年水质及生物多样性对比</w:t>
      </w:r>
    </w:p>
    <w:p w14:paraId="101D15F7">
      <w:pPr>
        <w:spacing w:after="0" w:line="360" w:lineRule="auto"/>
      </w:pPr>
      <w:r>
        <w:rPr>
          <w:rFonts w:ascii="仿宋" w:hAnsi="仿宋" w:eastAsia="仿宋"/>
          <w:b w:val="0"/>
          <w:sz w:val="28"/>
        </w:rPr>
        <w:t>数据来源：郑州市生态环境局2025年度公报</w:t>
      </w:r>
    </w:p>
    <w:p w14:paraId="19CF2D12">
      <w:pPr>
        <w:spacing w:after="0" w:line="360" w:lineRule="auto"/>
        <w:ind w:firstLine="482"/>
        <w:rPr>
          <w:rFonts w:ascii="仿宋" w:hAnsi="仿宋" w:eastAsia="仿宋"/>
          <w:b w:val="0"/>
          <w:sz w:val="28"/>
        </w:rPr>
      </w:pPr>
      <w:r>
        <w:rPr>
          <w:rFonts w:ascii="仿宋" w:hAnsi="仿宋" w:eastAsia="仿宋"/>
          <w:b w:val="0"/>
          <w:sz w:val="28"/>
        </w:rPr>
        <w:t>从郑州市整体空气质量来看，改善趋势同样明显。根据郑州市生态环境局数据，2016年郑州市空气质量优良天数为159天，2025年增加至268天，增加了109天。PM2.5年均浓度从2016年的79微克/立方米下降至2025年的38微克/立方米，降幅达51.9%。这一变化与笔者的切身感受相符。2024年秋季刚到郑州时，秋冬季节仍有雾霾天气出现，而2025年冬季蓝天白云已成为常态，户外运动的天数明显增加。</w:t>
      </w:r>
    </w:p>
    <w:p w14:paraId="18D3F7EA">
      <w:pPr>
        <w:spacing w:after="0" w:line="360" w:lineRule="auto"/>
        <w:ind w:firstLine="482"/>
        <w:jc w:val="center"/>
        <w:rPr>
          <w:rFonts w:hint="eastAsia" w:ascii="仿宋" w:hAnsi="仿宋" w:eastAsia="仿宋"/>
          <w:b w:val="0"/>
          <w:sz w:val="28"/>
          <w:lang w:eastAsia="zh-CN"/>
        </w:rPr>
      </w:pPr>
      <w:r>
        <w:rPr>
          <w:rFonts w:hint="eastAsia" w:ascii="仿宋" w:hAnsi="仿宋" w:eastAsia="仿宋"/>
          <w:b w:val="0"/>
          <w:sz w:val="28"/>
          <w:lang w:eastAsia="zh-CN"/>
        </w:rPr>
        <w:drawing>
          <wp:inline distT="0" distB="0" distL="114300" distR="114300">
            <wp:extent cx="6183630" cy="3835400"/>
            <wp:effectExtent l="0" t="0" r="1270" b="0"/>
            <wp:docPr id="4" name="图片 4" descr="智谱清言_2026-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智谱清言_2026-04-14"/>
                    <pic:cNvPicPr>
                      <a:picLocks noChangeAspect="1"/>
                    </pic:cNvPicPr>
                  </pic:nvPicPr>
                  <pic:blipFill>
                    <a:blip r:embed="rId11"/>
                    <a:stretch>
                      <a:fillRect/>
                    </a:stretch>
                  </pic:blipFill>
                  <pic:spPr>
                    <a:xfrm>
                      <a:off x="0" y="0"/>
                      <a:ext cx="6183630" cy="3835400"/>
                    </a:xfrm>
                    <a:prstGeom prst="rect">
                      <a:avLst/>
                    </a:prstGeom>
                  </pic:spPr>
                </pic:pic>
              </a:graphicData>
            </a:graphic>
          </wp:inline>
        </w:drawing>
      </w:r>
    </w:p>
    <w:p w14:paraId="53E25929">
      <w:pPr>
        <w:pStyle w:val="5"/>
        <w:spacing w:after="0" w:line="360" w:lineRule="auto"/>
        <w:ind w:firstLine="482"/>
        <w:jc w:val="center"/>
        <w:rPr>
          <w:rFonts w:hint="eastAsia" w:ascii="仿宋" w:hAnsi="仿宋" w:eastAsia="仿宋" w:cs="仿宋"/>
          <w:sz w:val="21"/>
          <w:szCs w:val="21"/>
          <w:lang w:val="en-US" w:eastAsia="zh-CN"/>
        </w:rPr>
      </w:pPr>
      <w:r>
        <w:rPr>
          <w:rFonts w:hint="eastAsia" w:ascii="仿宋" w:hAnsi="仿宋" w:eastAsia="仿宋" w:cs="仿宋"/>
          <w:sz w:val="21"/>
          <w:szCs w:val="21"/>
        </w:rPr>
        <w:t xml:space="preserve">图 </w:t>
      </w:r>
      <w:r>
        <w:rPr>
          <w:rFonts w:hint="eastAsia" w:ascii="仿宋" w:hAnsi="仿宋" w:eastAsia="仿宋" w:cs="仿宋"/>
          <w:sz w:val="21"/>
          <w:szCs w:val="21"/>
          <w:lang w:val="en-US" w:eastAsia="zh-CN"/>
        </w:rPr>
        <w:t>3</w:t>
      </w:r>
      <w:r>
        <w:rPr>
          <w:rFonts w:hint="eastAsia" w:ascii="仿宋" w:hAnsi="仿宋" w:eastAsia="仿宋" w:cs="仿宋"/>
          <w:b w:val="0"/>
          <w:sz w:val="21"/>
          <w:szCs w:val="21"/>
        </w:rPr>
        <w:t>：2016-2025年郑州市空气质量优良天数变化折线图</w:t>
      </w:r>
      <w:r>
        <w:rPr>
          <w:rFonts w:hint="eastAsia" w:ascii="仿宋" w:hAnsi="仿宋" w:eastAsia="仿宋" w:cs="仿宋"/>
          <w:b w:val="0"/>
          <w:sz w:val="21"/>
          <w:szCs w:val="21"/>
          <w:lang w:eastAsia="zh-CN"/>
        </w:rPr>
        <w:t>（</w:t>
      </w:r>
      <w:r>
        <w:rPr>
          <w:rFonts w:hint="eastAsia" w:ascii="仿宋" w:hAnsi="仿宋" w:eastAsia="仿宋" w:cs="仿宋"/>
          <w:b w:val="0"/>
          <w:sz w:val="21"/>
          <w:szCs w:val="21"/>
          <w:lang w:val="en-US" w:eastAsia="zh-CN"/>
        </w:rPr>
        <w:t>本图由笔者绘制</w:t>
      </w:r>
      <w:r>
        <w:rPr>
          <w:rFonts w:hint="eastAsia" w:ascii="仿宋" w:hAnsi="仿宋" w:eastAsia="仿宋" w:cs="仿宋"/>
          <w:b w:val="0"/>
          <w:sz w:val="21"/>
          <w:szCs w:val="21"/>
          <w:lang w:eastAsia="zh-CN"/>
        </w:rPr>
        <w:t>）</w:t>
      </w:r>
    </w:p>
    <w:p w14:paraId="7B494E36">
      <w:pPr>
        <w:spacing w:after="0" w:line="360" w:lineRule="auto"/>
      </w:pPr>
      <w:r>
        <w:rPr>
          <w:rFonts w:ascii="仿宋" w:hAnsi="仿宋" w:eastAsia="仿宋"/>
          <w:b w:val="0"/>
          <w:sz w:val="28"/>
        </w:rPr>
        <w:t>数据来源：郑州市生态环境局年度公报</w:t>
      </w:r>
    </w:p>
    <w:p w14:paraId="14FE32CC">
      <w:pPr>
        <w:spacing w:before="160" w:after="80"/>
      </w:pPr>
      <w:r>
        <w:rPr>
          <w:rFonts w:ascii="仿宋" w:hAnsi="仿宋" w:eastAsia="仿宋"/>
          <w:b/>
          <w:sz w:val="28"/>
        </w:rPr>
        <w:t>（三）当前生态建设与运营中存在的问题</w:t>
      </w:r>
    </w:p>
    <w:p w14:paraId="516B7585">
      <w:pPr>
        <w:spacing w:after="0" w:line="360" w:lineRule="auto"/>
        <w:ind w:firstLine="482"/>
      </w:pPr>
      <w:r>
        <w:rPr>
          <w:rFonts w:ascii="仿宋" w:hAnsi="仿宋" w:eastAsia="仿宋"/>
          <w:b w:val="0"/>
          <w:sz w:val="28"/>
        </w:rPr>
        <w:t>通过实地调研，笔者也发现园区在运营管理方面存在一些问题，主要体现在以下几个方面：</w:t>
      </w:r>
    </w:p>
    <w:p w14:paraId="452D77A6">
      <w:pPr>
        <w:spacing w:after="0" w:line="360" w:lineRule="auto"/>
        <w:ind w:firstLine="482"/>
      </w:pPr>
      <w:r>
        <w:rPr>
          <w:rFonts w:ascii="仿宋" w:hAnsi="仿宋" w:eastAsia="仿宋"/>
          <w:b w:val="0"/>
          <w:sz w:val="28"/>
        </w:rPr>
        <w:t>第一，部分区域维护不到位。在园区西北角的观赏花卉区，笔者发现部分花卉枯萎未及时更换，几处指示牌存在破损褪色现象，部分公共座椅出现损坏。这些问题虽然不影响园区的整体功能，但会影响游客的游览体验。保安李叔表示："园区面积大，维护工作量大，有时候人手不够，一些小问题来不及处理。"</w:t>
      </w:r>
    </w:p>
    <w:p w14:paraId="416A23E9">
      <w:pPr>
        <w:spacing w:after="0" w:line="360" w:lineRule="auto"/>
        <w:ind w:firstLine="482"/>
      </w:pPr>
      <w:r>
        <w:rPr>
          <w:rFonts w:ascii="仿宋" w:hAnsi="仿宋" w:eastAsia="仿宋"/>
          <w:b w:val="0"/>
          <w:sz w:val="28"/>
        </w:rPr>
        <w:t>第二，线上预约系统对老年群体不够友好。笔者在入口处观察到，部分老年游客在使用手机预约入园时遇到困难。退休居民张大爷说："字太小看不清，操作步骤太多记不住，还是以前直接买票方便。"目前园区主要依赖线上预约系统，缺乏针对老年群体的适老化改造，给部分游客带来了不便。</w:t>
      </w:r>
    </w:p>
    <w:p w14:paraId="62929EF4">
      <w:pPr>
        <w:spacing w:after="120"/>
        <w:jc w:val="center"/>
        <w:rPr>
          <w:rFonts w:ascii="仿宋" w:hAnsi="仿宋" w:eastAsia="仿宋"/>
          <w:b w:val="0"/>
          <w:sz w:val="21"/>
        </w:rPr>
      </w:pPr>
      <w:r>
        <w:rPr>
          <w:rFonts w:ascii="仿宋" w:hAnsi="仿宋" w:eastAsia="仿宋"/>
          <w:b w:val="0"/>
          <w:sz w:val="21"/>
        </w:rPr>
        <w:drawing>
          <wp:inline distT="0" distB="0" distL="114300" distR="114300">
            <wp:extent cx="3694430" cy="4928870"/>
            <wp:effectExtent l="0" t="0" r="1270" b="11430"/>
            <wp:docPr id="5" name="图片 5" descr="c6775eb8cea321f4c784c6030b96c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6775eb8cea321f4c784c6030b96c510"/>
                    <pic:cNvPicPr>
                      <a:picLocks noChangeAspect="1"/>
                    </pic:cNvPicPr>
                  </pic:nvPicPr>
                  <pic:blipFill>
                    <a:blip r:embed="rId12"/>
                    <a:stretch>
                      <a:fillRect/>
                    </a:stretch>
                  </pic:blipFill>
                  <pic:spPr>
                    <a:xfrm>
                      <a:off x="0" y="0"/>
                      <a:ext cx="3694430" cy="4928870"/>
                    </a:xfrm>
                    <a:prstGeom prst="rect">
                      <a:avLst/>
                    </a:prstGeom>
                  </pic:spPr>
                </pic:pic>
              </a:graphicData>
            </a:graphic>
          </wp:inline>
        </w:drawing>
      </w:r>
    </w:p>
    <w:p w14:paraId="66B68C13">
      <w:pPr>
        <w:spacing w:after="120"/>
        <w:jc w:val="center"/>
      </w:pPr>
      <w:r>
        <w:rPr>
          <w:rFonts w:ascii="仿宋" w:hAnsi="仿宋" w:eastAsia="仿宋"/>
          <w:b w:val="0"/>
          <w:sz w:val="21"/>
        </w:rPr>
        <w:t>图</w:t>
      </w:r>
      <w:r>
        <w:rPr>
          <w:rFonts w:hint="eastAsia" w:ascii="仿宋" w:hAnsi="仿宋" w:eastAsia="仿宋"/>
          <w:b w:val="0"/>
          <w:sz w:val="21"/>
          <w:lang w:val="en-US" w:eastAsia="zh-CN"/>
        </w:rPr>
        <w:t>4</w:t>
      </w:r>
      <w:r>
        <w:rPr>
          <w:rFonts w:ascii="仿宋" w:hAnsi="仿宋" w:eastAsia="仿宋"/>
          <w:b w:val="0"/>
          <w:sz w:val="21"/>
        </w:rPr>
        <w:t>：郑州绿博园主干道绿化设施（作者摄，2026年4月5日）</w:t>
      </w:r>
    </w:p>
    <w:p w14:paraId="132C6789">
      <w:pPr>
        <w:spacing w:after="0" w:line="360" w:lineRule="auto"/>
        <w:ind w:firstLine="482"/>
      </w:pPr>
      <w:r>
        <w:rPr>
          <w:rFonts w:ascii="仿宋" w:hAnsi="仿宋" w:eastAsia="仿宋"/>
          <w:b w:val="0"/>
          <w:sz w:val="28"/>
        </w:rPr>
        <w:t>第三，节假日人流过载问题。4月3日清明假期首日，园区游客量明显超过平日，停车场车位紧张，部分热门景点出现拥挤现象。中牟本地游客李女士反映："节假日人太多了，体验感不如平时好。"园区目前缺乏实时人流监测与预警机制，无法提前引导游客错峰游览。</w:t>
      </w:r>
    </w:p>
    <w:p w14:paraId="537AC292">
      <w:pPr>
        <w:spacing w:after="0" w:line="360" w:lineRule="auto"/>
        <w:ind w:firstLine="482"/>
      </w:pPr>
      <w:r>
        <w:rPr>
          <w:rFonts w:ascii="仿宋" w:hAnsi="仿宋" w:eastAsia="仿宋"/>
          <w:b w:val="0"/>
          <w:sz w:val="28"/>
        </w:rPr>
        <w:t>第四，科普活动受众群体单一。科普馆的研学活动主要面向中小学生，针对成人群体和老年群体的科普活动相对较少。讲解员小周坦言："我们的活动设计主要是针对青少年的，成人游客大多是陪同孩子来的。"科普内容的深度和广度也有提升空间，部分展项内容多年未更新。</w:t>
      </w:r>
    </w:p>
    <w:p w14:paraId="0EC6F976">
      <w:pPr>
        <w:spacing w:after="0" w:line="360" w:lineRule="auto"/>
        <w:ind w:firstLine="482"/>
      </w:pPr>
      <w:r>
        <w:rPr>
          <w:rFonts w:ascii="仿宋" w:hAnsi="仿宋" w:eastAsia="仿宋"/>
          <w:b w:val="0"/>
          <w:sz w:val="28"/>
        </w:rPr>
        <w:t>第五，园区智能化建设存在不足。笔者在游览过程中使用了园区小程序，发现存在以下问题：验证码加载延迟明显，等待时间超过5秒；定位功能存在偏差，导航路线不够准确；小程序缺乏离线模式，在网络信号较弱的区域无法正常使用。科普馆的互动设备也存在界面老旧、响应速度慢、内容更新不及时等问题。这些技术问题影响了游客的使用体验。</w:t>
      </w:r>
    </w:p>
    <w:p w14:paraId="3185E770">
      <w:pPr>
        <w:spacing w:before="240" w:after="120"/>
      </w:pPr>
      <w:r>
        <w:rPr>
          <w:rFonts w:ascii="仿宋" w:hAnsi="仿宋" w:eastAsia="仿宋"/>
          <w:b/>
          <w:sz w:val="28"/>
        </w:rPr>
        <w:t>四、个人思考与感悟</w:t>
      </w:r>
    </w:p>
    <w:p w14:paraId="02844E5A">
      <w:pPr>
        <w:spacing w:after="0" w:line="360" w:lineRule="auto"/>
        <w:ind w:firstLine="482"/>
      </w:pPr>
      <w:r>
        <w:rPr>
          <w:rFonts w:ascii="仿宋" w:hAnsi="仿宋" w:eastAsia="仿宋"/>
          <w:b w:val="0"/>
          <w:sz w:val="28"/>
        </w:rPr>
        <w:t>本次调研让我对生态文明建设有了更加具体和深入的认识。调研前，我认为生态建设主要是政府主导的工程性工作，与个人关联度较低。调研后，我认识到生态成果的维护需要多方参与，专业技术可在其中发挥重要作用。</w:t>
      </w:r>
    </w:p>
    <w:p w14:paraId="59112F57">
      <w:pPr>
        <w:spacing w:after="0" w:line="360" w:lineRule="auto"/>
        <w:ind w:firstLine="482"/>
      </w:pPr>
      <w:r>
        <w:rPr>
          <w:rFonts w:ascii="仿宋" w:hAnsi="仿宋" w:eastAsia="仿宋"/>
          <w:b w:val="0"/>
          <w:sz w:val="28"/>
        </w:rPr>
        <w:t>结合软件工程专业背景，我认为信息技术可以在以下方面助力生态建设：</w:t>
      </w:r>
    </w:p>
    <w:p w14:paraId="5AFF0559">
      <w:pPr>
        <w:spacing w:after="0" w:line="360" w:lineRule="auto"/>
        <w:ind w:firstLine="482"/>
      </w:pPr>
      <w:r>
        <w:rPr>
          <w:rFonts w:ascii="仿宋" w:hAnsi="仿宋" w:eastAsia="仿宋"/>
          <w:b w:val="0"/>
          <w:sz w:val="28"/>
        </w:rPr>
        <w:t>一是开发适老化简化版小程序。针对老年群体使用线上预约系统的困难，可以开发适老化版本，采用大字体、高对比度配色、简洁界面设计，简化操作流程，保留预约、导航等核心功能，降低使用门槛。同时，园区可以招募大学生志愿者，在入口处协助老年游客使用线上服务。</w:t>
      </w:r>
    </w:p>
    <w:p w14:paraId="346C063A">
      <w:pPr>
        <w:spacing w:after="0" w:line="360" w:lineRule="auto"/>
        <w:ind w:firstLine="482"/>
      </w:pPr>
      <w:r>
        <w:rPr>
          <w:rFonts w:ascii="仿宋" w:hAnsi="仿宋" w:eastAsia="仿宋"/>
          <w:b w:val="0"/>
          <w:sz w:val="28"/>
        </w:rPr>
        <w:t>二是利用大数据技术实现人流监测与预警。通过在园区部署传感器或利用手机信令数据，实时监测各区域人流密度，在小程序中展示实时人流情况和停车场空位数量，帮助游客合理安排行程，缓解节假日拥堵问题。当某区域人流密度超过阈值时，系统可自动推送预警信息，引导游客前往人流较少的区域。</w:t>
      </w:r>
    </w:p>
    <w:p w14:paraId="1E9484C2">
      <w:pPr>
        <w:spacing w:after="0" w:line="360" w:lineRule="auto"/>
        <w:ind w:firstLine="482"/>
      </w:pPr>
      <w:r>
        <w:rPr>
          <w:rFonts w:ascii="仿宋" w:hAnsi="仿宋" w:eastAsia="仿宋"/>
          <w:b w:val="0"/>
          <w:sz w:val="28"/>
        </w:rPr>
        <w:t>三是开发植物识别辅助工具。利用图像识别技术，开发简易植物识别应用，游客通过拍照即可获取植物名称、特征、生长习性等信息。这不仅可以提升游客的科普体验，也可以减轻讲解员的工作压力。作为软件工程专业的学生，我可以尝试开发一个简易版本供园区试用。</w:t>
      </w:r>
    </w:p>
    <w:p w14:paraId="55B7A4CD">
      <w:pPr>
        <w:spacing w:after="0" w:line="360" w:lineRule="auto"/>
        <w:ind w:firstLine="482"/>
      </w:pPr>
      <w:r>
        <w:rPr>
          <w:rFonts w:ascii="仿宋" w:hAnsi="仿宋" w:eastAsia="仿宋"/>
          <w:b w:val="0"/>
          <w:sz w:val="28"/>
        </w:rPr>
        <w:t>调研也让我对"绿水青山就是金山银山"的理念有了更深刻的理解。绿博园从展会园区转型为城市生态绿肺，不仅改善了区域生态环境，也为市民提供了高品质的休闲空间，带动了周边餐饮、住宿等服务业发展，实现了生态效益、社会效益与经济效益的统一。这种发展模式值得其他地区借鉴。</w:t>
      </w:r>
    </w:p>
    <w:p w14:paraId="21EC4DC7">
      <w:pPr>
        <w:spacing w:after="0" w:line="360" w:lineRule="auto"/>
        <w:ind w:firstLine="482"/>
      </w:pPr>
      <w:r>
        <w:rPr>
          <w:rFonts w:ascii="仿宋" w:hAnsi="仿宋" w:eastAsia="仿宋"/>
          <w:b w:val="0"/>
          <w:sz w:val="28"/>
        </w:rPr>
        <w:t>从个人生活体验来看，2024年秋季刚到郑州时，秋冬季节雾霾天气仍较为常见，而2025年冬季空气质量明显改善，蓝天白云已成为常态。这种变化让我切身感受到生态建设对普通人日常生活的实际影响，也增强了我对国家生态文明建设的信心。同时，我也认识到生态建设是一个长期过程，需要持续投入和全民参与。</w:t>
      </w:r>
    </w:p>
    <w:p w14:paraId="6E1032C4">
      <w:pPr>
        <w:spacing w:before="240" w:after="120"/>
      </w:pPr>
      <w:r>
        <w:rPr>
          <w:rFonts w:ascii="仿宋" w:hAnsi="仿宋" w:eastAsia="仿宋"/>
          <w:b/>
          <w:sz w:val="28"/>
        </w:rPr>
        <w:t>五、结语</w:t>
      </w:r>
    </w:p>
    <w:p w14:paraId="5AE32A76">
      <w:pPr>
        <w:spacing w:after="0" w:line="360" w:lineRule="auto"/>
        <w:ind w:firstLine="482"/>
      </w:pPr>
      <w:r>
        <w:rPr>
          <w:rFonts w:ascii="仿宋" w:hAnsi="仿宋" w:eastAsia="仿宋"/>
          <w:b w:val="0"/>
          <w:sz w:val="28"/>
        </w:rPr>
        <w:t>通过本次调研，我系统了解了郑州绿博园十年来的生态建设成效，也发现了当前运营中存在的问题。作为新时代的大学生，我深刻认识到生态文明建设是一项系统工程，需要政府主导、社会参与、技术支撑。绿博园的成功转型表明，只要坚持生态优先、绿色发展的理念，就能实现经济发展与环境保护的良性互动。</w:t>
      </w:r>
    </w:p>
    <w:p w14:paraId="19441DCE">
      <w:pPr>
        <w:spacing w:after="0" w:line="360" w:lineRule="auto"/>
        <w:ind w:firstLine="482"/>
        <w:rPr>
          <w:rFonts w:hint="default"/>
          <w:lang w:val="en-US" w:eastAsia="zh-CN"/>
        </w:rPr>
      </w:pPr>
      <w:r>
        <w:rPr>
          <w:rFonts w:ascii="仿宋" w:hAnsi="仿宋" w:eastAsia="仿宋"/>
          <w:b w:val="0"/>
          <w:sz w:val="28"/>
        </w:rPr>
        <w:t>在今后的学习和生活中，我将更加关注生态环境问题，努力将专业知识应用于生态建设实践。作为软件工程专业的学生，我希望能够开发出切实可用的技术工具，为生态建设贡献自己的力量。同时，我也将在日常生活中践行绿色低碳的生活方式，从身边小事做起，为建设美丽中国贡献自己的一份力量。</w:t>
      </w:r>
    </w:p>
    <w:p w14:paraId="58C7ED32">
      <w:pPr>
        <w:ind w:firstLine="526" w:firstLineChars="200"/>
        <w:rPr>
          <w:rFonts w:hint="default"/>
          <w:sz w:val="28"/>
          <w:szCs w:val="28"/>
          <w:lang w:val="en-US" w:eastAsia="zh-CN"/>
        </w:rPr>
      </w:pPr>
    </w:p>
    <w:p w14:paraId="7487EFD1">
      <w:pPr>
        <w:pStyle w:val="4"/>
        <w:rPr>
          <w:rFonts w:hint="default"/>
          <w:lang w:val="en-US" w:eastAsia="zh-CN"/>
        </w:rPr>
      </w:pPr>
    </w:p>
    <w:p w14:paraId="5EB17A5E">
      <w:pPr>
        <w:rPr>
          <w:rFonts w:hint="default"/>
          <w:sz w:val="28"/>
          <w:szCs w:val="28"/>
          <w:lang w:val="en-US" w:eastAsia="zh-CN"/>
        </w:rPr>
      </w:pPr>
    </w:p>
    <w:p w14:paraId="2D21536A">
      <w:pPr>
        <w:rPr>
          <w:rFonts w:hint="default"/>
          <w:sz w:val="28"/>
          <w:szCs w:val="28"/>
          <w:lang w:val="en-US" w:eastAsia="zh-CN"/>
        </w:rPr>
      </w:pPr>
    </w:p>
    <w:p w14:paraId="3B89B1ED">
      <w:pPr>
        <w:ind w:firstLine="526" w:firstLineChars="200"/>
        <w:rPr>
          <w:rFonts w:hint="default"/>
          <w:sz w:val="28"/>
          <w:szCs w:val="28"/>
          <w:lang w:val="en-US" w:eastAsia="zh-CN"/>
        </w:rPr>
      </w:pPr>
    </w:p>
    <w:p w14:paraId="76BA6848">
      <w:pPr>
        <w:spacing w:line="360" w:lineRule="auto"/>
        <w:rPr>
          <w:rFonts w:hint="default"/>
          <w:sz w:val="32"/>
          <w:szCs w:val="40"/>
          <w:lang w:val="en-US" w:eastAsia="zh-CN"/>
        </w:rPr>
      </w:pPr>
    </w:p>
    <w:p w14:paraId="1A220381">
      <w:pPr>
        <w:spacing w:line="360" w:lineRule="auto"/>
        <w:rPr>
          <w:rFonts w:hint="eastAsia"/>
          <w:lang w:val="en-US" w:eastAsia="zh-CN"/>
        </w:rPr>
      </w:pPr>
    </w:p>
    <w:p w14:paraId="0D0419C2">
      <w:pPr>
        <w:rPr>
          <w:rFonts w:hint="default"/>
          <w:lang w:val="en-US" w:eastAsia="zh-CN"/>
        </w:rPr>
      </w:pPr>
    </w:p>
    <w:p w14:paraId="3640D844"/>
    <w:sectPr>
      <w:headerReference r:id="rId4" w:type="default"/>
      <w:footerReference r:id="rId5" w:type="default"/>
      <w:pgSz w:w="11906" w:h="16838"/>
      <w:pgMar w:top="1440" w:right="1080" w:bottom="1440" w:left="1080" w:header="567" w:footer="680" w:gutter="0"/>
      <w:cols w:space="720" w:num="1"/>
      <w:rtlGutter w:val="0"/>
      <w:docGrid w:type="linesAndChars" w:linePitch="290" w:charSpace="-357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1030101010101"/>
    <w:charset w:val="86"/>
    <w:family w:val="script"/>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F1CAF">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F232D">
    <w:pPr>
      <w:pStyle w:val="7"/>
      <w:pBdr>
        <w:bottom w:val="none" w:color="auto" w:sz="0" w:space="1"/>
      </w:pBdr>
      <w:tabs>
        <w:tab w:val="left" w:pos="913"/>
        <w:tab w:val="clear" w:pos="4153"/>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F67AE">
    <w:pPr>
      <w:pStyle w:val="7"/>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FmYWExZDhjNTA0ODcyOTc1ZmRmYTQ4YjFjMmVjZjAifQ=="/>
  </w:docVars>
  <w:rsids>
    <w:rsidRoot w:val="5163253D"/>
    <w:rsid w:val="06C81E23"/>
    <w:rsid w:val="06F24EB4"/>
    <w:rsid w:val="0A406C3B"/>
    <w:rsid w:val="0E04434E"/>
    <w:rsid w:val="109A7307"/>
    <w:rsid w:val="1ED51072"/>
    <w:rsid w:val="25DF2EAB"/>
    <w:rsid w:val="26A50E67"/>
    <w:rsid w:val="2C5D39B2"/>
    <w:rsid w:val="2D617727"/>
    <w:rsid w:val="2D9022A6"/>
    <w:rsid w:val="310D12C2"/>
    <w:rsid w:val="31402877"/>
    <w:rsid w:val="33B86672"/>
    <w:rsid w:val="3DB010F4"/>
    <w:rsid w:val="473E1087"/>
    <w:rsid w:val="47517B0F"/>
    <w:rsid w:val="5163253D"/>
    <w:rsid w:val="53466F1D"/>
    <w:rsid w:val="56554CD5"/>
    <w:rsid w:val="58DF11CE"/>
    <w:rsid w:val="610129BA"/>
    <w:rsid w:val="63D63372"/>
    <w:rsid w:val="645B59EC"/>
    <w:rsid w:val="680B0A0D"/>
    <w:rsid w:val="6EFA4214"/>
    <w:rsid w:val="71CC633B"/>
    <w:rsid w:val="73F1480A"/>
    <w:rsid w:val="754A378C"/>
    <w:rsid w:val="76BB7E5C"/>
    <w:rsid w:val="7D610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autoSpaceDE w:val="0"/>
      <w:autoSpaceDN/>
      <w:spacing w:beforeLines="0" w:beforeAutospacing="0" w:afterLines="0" w:afterAutospacing="0" w:line="312" w:lineRule="auto"/>
      <w:jc w:val="both"/>
      <w:outlineLvl w:val="0"/>
    </w:pPr>
    <w:rPr>
      <w:rFonts w:ascii="Times New Roman" w:hAnsi="Times New Roman" w:eastAsia="仿宋"/>
      <w:b/>
      <w:kern w:val="44"/>
      <w:sz w:val="28"/>
    </w:rPr>
  </w:style>
  <w:style w:type="paragraph" w:styleId="3">
    <w:name w:val="heading 2"/>
    <w:basedOn w:val="1"/>
    <w:next w:val="1"/>
    <w:semiHidden/>
    <w:unhideWhenUsed/>
    <w:qFormat/>
    <w:uiPriority w:val="0"/>
    <w:pPr>
      <w:keepNext/>
      <w:keepLines/>
      <w:autoSpaceDE w:val="0"/>
      <w:autoSpaceDN/>
      <w:snapToGrid w:val="0"/>
      <w:spacing w:beforeLines="0" w:beforeAutospacing="0" w:afterLines="0" w:afterAutospacing="0" w:line="360" w:lineRule="auto"/>
      <w:outlineLvl w:val="1"/>
    </w:pPr>
    <w:rPr>
      <w:rFonts w:ascii="Arial" w:hAnsi="Arial" w:eastAsia="仿宋"/>
      <w:b/>
      <w:sz w:val="28"/>
    </w:rPr>
  </w:style>
  <w:style w:type="paragraph" w:styleId="4">
    <w:name w:val="heading 3"/>
    <w:basedOn w:val="1"/>
    <w:next w:val="1"/>
    <w:autoRedefine/>
    <w:semiHidden/>
    <w:unhideWhenUsed/>
    <w:qFormat/>
    <w:uiPriority w:val="0"/>
    <w:pPr>
      <w:keepNext/>
      <w:keepLines/>
      <w:adjustRightInd w:val="0"/>
      <w:snapToGrid w:val="0"/>
      <w:spacing w:beforeLines="0" w:beforeAutospacing="0" w:afterLines="0" w:afterAutospacing="0" w:line="360" w:lineRule="auto"/>
      <w:ind w:firstLine="880" w:firstLineChars="200"/>
      <w:jc w:val="left"/>
      <w:outlineLvl w:val="2"/>
    </w:pPr>
    <w:rPr>
      <w:rFonts w:ascii="Calibri" w:hAnsi="Calibri" w:eastAsia="宋体" w:cs="Times New Roman"/>
      <w:sz w:val="24"/>
    </w:rPr>
  </w:style>
  <w:style w:type="character" w:default="1" w:styleId="10">
    <w:name w:val="Default Paragraph Font"/>
    <w:autoRedefine/>
    <w:semiHidden/>
    <w:unhideWhenUsed/>
    <w:qFormat/>
    <w:uiPriority w:val="1"/>
  </w:style>
  <w:style w:type="table" w:default="1" w:styleId="8">
    <w:name w:val="Normal Table"/>
    <w:autoRedefin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footer"/>
    <w:basedOn w:val="1"/>
    <w:autoRedefine/>
    <w:qFormat/>
    <w:uiPriority w:val="0"/>
    <w:pPr>
      <w:tabs>
        <w:tab w:val="center" w:pos="4153"/>
        <w:tab w:val="right" w:pos="8306"/>
      </w:tabs>
      <w:snapToGrid w:val="0"/>
      <w:jc w:val="left"/>
    </w:pPr>
    <w:rPr>
      <w:sz w:val="18"/>
    </w:rPr>
  </w:style>
  <w:style w:type="paragraph" w:styleId="7">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table" w:styleId="9">
    <w:name w:val="Table Grid"/>
    <w:basedOn w:val="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1">
    <w:name w:val="目录标题1"/>
    <w:basedOn w:val="1"/>
    <w:link w:val="12"/>
    <w:autoRedefine/>
    <w:qFormat/>
    <w:uiPriority w:val="0"/>
    <w:pPr>
      <w:autoSpaceDE w:val="0"/>
      <w:spacing w:line="312" w:lineRule="auto"/>
      <w:jc w:val="center"/>
    </w:pPr>
    <w:rPr>
      <w:rFonts w:ascii="方正小标宋简体" w:hAnsi="方正小标宋简体" w:eastAsia="仿宋" w:cs="方正小标宋简体"/>
      <w:b/>
      <w:sz w:val="44"/>
      <w:szCs w:val="44"/>
    </w:rPr>
  </w:style>
  <w:style w:type="character" w:customStyle="1" w:styleId="12">
    <w:name w:val="目录标题1 字符"/>
    <w:basedOn w:val="10"/>
    <w:link w:val="11"/>
    <w:autoRedefine/>
    <w:qFormat/>
    <w:uiPriority w:val="0"/>
    <w:rPr>
      <w:rFonts w:ascii="方正小标宋简体" w:hAnsi="方正小标宋简体" w:eastAsia="仿宋" w:cs="方正小标宋简体"/>
      <w:b/>
      <w:kern w:val="2"/>
      <w:sz w:val="44"/>
      <w:szCs w:val="44"/>
    </w:rPr>
  </w:style>
  <w:style w:type="paragraph" w:customStyle="1" w:styleId="13">
    <w:name w:val="新思想正文"/>
    <w:basedOn w:val="1"/>
    <w:uiPriority w:val="0"/>
    <w:pPr>
      <w:kinsoku w:val="0"/>
      <w:overflowPunct w:val="0"/>
      <w:autoSpaceDE w:val="0"/>
      <w:autoSpaceDN w:val="0"/>
      <w:adjustRightInd w:val="0"/>
      <w:snapToGrid w:val="0"/>
      <w:spacing w:line="360" w:lineRule="auto"/>
      <w:ind w:firstLine="803" w:firstLineChars="200"/>
    </w:pPr>
    <w:rPr>
      <w:rFonts w:hint="eastAsia" w:ascii="仿宋" w:hAnsi="仿宋" w:eastAsia="仿宋" w:cs="仿宋"/>
      <w:color w:val="FF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405</Words>
  <Characters>423</Characters>
  <Lines>0</Lines>
  <Paragraphs>0</Paragraphs>
  <TotalTime>40</TotalTime>
  <ScaleCrop>false</ScaleCrop>
  <LinksUpToDate>false</LinksUpToDate>
  <CharactersWithSpaces>439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2023-09-03T12:07:00Z</dcterms:created>
  <dc:creator>大媛</dc:creator>
  <cp:lastModifiedBy>微信用户</cp:lastModifiedBy>
  <dcterms:modified xsi:type="dcterms:W3CDTF">2026-04-14T10:43:31Z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8D0C6079C6BF4E62930EE2C9418BFC66_13</vt:lpwstr>
  </property>
  <property fmtid="{D5CDD505-2E9C-101B-9397-08002B2CF9AE}" pid="4" name="KSOTemplateDocerSaveRecord">
    <vt:lpwstr>eyJoZGlkIjoiYjNiNjc3NzYyYzM2ODFkZTUwYmQxMmU2NzUxYzdkNjYiLCJ1c2VySWQiOiIxMjgzOTU0ODA2In0=</vt:lpwstr>
  </property>
</Properties>
</file>