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User guide: Admin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Admins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FirstParagraph"/>
      </w:pPr>
      <w:r>
        <w:t xml:space="preserve">For agency administrators. Your home page is</w:t>
      </w:r>
      <w:r>
        <w:t xml:space="preserve"> </w:t>
      </w:r>
      <w:r>
        <w:rPr>
          <w:bCs/>
          <w:b/>
        </w:rPr>
        <w:t xml:space="preserve">/admin</w:t>
      </w:r>
      <w:r>
        <w:t xml:space="preserve">. Navigation: Dashboard | Leads | Counsellors | Careers | Instruments | Templates.</w:t>
      </w:r>
    </w:p>
    <w:p>
      <w:pPr>
        <w:pStyle w:val="BlockText"/>
      </w:pPr>
      <w:r>
        <w:t xml:space="preserve">Last updated 2026-10-24. Procedures are in the</w:t>
      </w:r>
      <w:r>
        <w:t xml:space="preserve"> </w:t>
      </w:r>
      <w:hyperlink r:id="rId20">
        <w:r>
          <w:rPr>
            <w:rStyle w:val="Hyperlink"/>
          </w:rPr>
          <w:t xml:space="preserve">Operations SOPs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Technical SOPs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811eabbba4bf055a69d7be421575a57fd32a68e">
        <w:r>
          <w:rPr>
            <w:rStyle w:val="Hyperlink"/>
          </w:rPr>
          <w:t xml:space="preserve">1. Dashboard (/admin)</w:t>
        </w:r>
      </w:hyperlink>
    </w:p>
    <w:p>
      <w:pPr>
        <w:numPr>
          <w:ilvl w:val="0"/>
          <w:numId w:val="1001"/>
        </w:numPr>
        <w:pStyle w:val="Compact"/>
      </w:pPr>
      <w:hyperlink w:anchor="X2f861758fb7ecb380da9286827ea2ee9033dcf8">
        <w:r>
          <w:rPr>
            <w:rStyle w:val="Hyperlink"/>
          </w:rPr>
          <w:t xml:space="preserve">2. Leads (/admin/leads)</w:t>
        </w:r>
      </w:hyperlink>
    </w:p>
    <w:p>
      <w:pPr>
        <w:numPr>
          <w:ilvl w:val="0"/>
          <w:numId w:val="1001"/>
        </w:numPr>
        <w:pStyle w:val="Compact"/>
      </w:pPr>
      <w:hyperlink w:anchor="X218f09ef7bdacc2451ace9a3b77d3ec18f0919a">
        <w:r>
          <w:rPr>
            <w:rStyle w:val="Hyperlink"/>
          </w:rPr>
          <w:t xml:space="preserve">3. Users and roles</w:t>
        </w:r>
      </w:hyperlink>
    </w:p>
    <w:p>
      <w:pPr>
        <w:numPr>
          <w:ilvl w:val="0"/>
          <w:numId w:val="1001"/>
        </w:numPr>
        <w:pStyle w:val="Compact"/>
      </w:pPr>
      <w:hyperlink w:anchor="Xdf4dd32f2e05755462496540949829dcc001b4b">
        <w:r>
          <w:rPr>
            <w:rStyle w:val="Hyperlink"/>
          </w:rPr>
          <w:t xml:space="preserve">4. Counsellors (/admin/counsellors)</w:t>
        </w:r>
      </w:hyperlink>
    </w:p>
    <w:p>
      <w:pPr>
        <w:numPr>
          <w:ilvl w:val="0"/>
          <w:numId w:val="1001"/>
        </w:numPr>
        <w:pStyle w:val="Compact"/>
      </w:pPr>
      <w:hyperlink w:anchor="Xbee0cab23f5b2f92ef1a0b42d1d4f88201fd57c">
        <w:r>
          <w:rPr>
            <w:rStyle w:val="Hyperlink"/>
          </w:rPr>
          <w:t xml:space="preserve">5. Career library (/admin/careers)</w:t>
        </w:r>
      </w:hyperlink>
    </w:p>
    <w:p>
      <w:pPr>
        <w:numPr>
          <w:ilvl w:val="0"/>
          <w:numId w:val="1001"/>
        </w:numPr>
        <w:pStyle w:val="Compact"/>
      </w:pPr>
      <w:hyperlink w:anchor="Xbfbdc7ee11f70448d9f251e400ba4fb2cd1c7bd">
        <w:r>
          <w:rPr>
            <w:rStyle w:val="Hyperlink"/>
          </w:rPr>
          <w:t xml:space="preserve">6. Streams (/admin/streams)</w:t>
        </w:r>
      </w:hyperlink>
    </w:p>
    <w:p>
      <w:pPr>
        <w:numPr>
          <w:ilvl w:val="0"/>
          <w:numId w:val="1001"/>
        </w:numPr>
        <w:pStyle w:val="Compact"/>
      </w:pPr>
      <w:hyperlink w:anchor="Xe06c3540b25635c9027942c639a303cf6fe73df">
        <w:r>
          <w:rPr>
            <w:rStyle w:val="Hyperlink"/>
          </w:rPr>
          <w:t xml:space="preserve">7. Instruments (/admin/instruments)</w:t>
        </w:r>
      </w:hyperlink>
    </w:p>
    <w:p>
      <w:pPr>
        <w:numPr>
          <w:ilvl w:val="0"/>
          <w:numId w:val="1001"/>
        </w:numPr>
        <w:pStyle w:val="Compact"/>
      </w:pPr>
      <w:hyperlink w:anchor="X3fff7b3ebc0b9c7b02ac30840a8e7396d85180b">
        <w:r>
          <w:rPr>
            <w:rStyle w:val="Hyperlink"/>
          </w:rPr>
          <w:t xml:space="preserve">8. Templates (/admin/templates)</w:t>
        </w:r>
      </w:hyperlink>
    </w:p>
    <w:p>
      <w:pPr>
        <w:numPr>
          <w:ilvl w:val="0"/>
          <w:numId w:val="1001"/>
        </w:numPr>
        <w:pStyle w:val="Compact"/>
      </w:pPr>
      <w:hyperlink w:anchor="Xe55ab1cb0cf91f36b990f4edbc31a47c7f96264">
        <w:r>
          <w:rPr>
            <w:rStyle w:val="Hyperlink"/>
          </w:rPr>
          <w:t xml:space="preserve">9. Audit</w:t>
        </w:r>
      </w:hyperlink>
    </w:p>
    <w:bookmarkStart w:id="25" w:name="X811eabbba4bf055a69d7be421575a57fd32a68e"/>
    <w:p>
      <w:pPr>
        <w:pStyle w:val="Heading1"/>
        <w:pageBreakBefore/>
      </w:pPr>
      <w:r>
        <w:t xml:space="preserve">1. Dashboard (/admin)</w:t>
      </w:r>
    </w:p>
    <w:p>
      <w:pPr>
        <w:pStyle w:val="FirstParagraph"/>
      </w:pPr>
      <w:r>
        <w:drawing>
          <wp:inline>
            <wp:extent cx="4462272" cy="444320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e4a6d42410b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72" cy="444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321"/>
        <w:gridCol w:w="2573"/>
        <w:gridCol w:w="5460"/>
      </w:tblGrid>
      <w:tr>
        <w:trPr>
          <w:tblHeader w:val="true"/>
          <w:tblHeader/>
        </w:trPr>
        <w:tc>
          <w:tcPr>
            <w:tcW w:w="132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Widget</w:t>
            </w:r>
          </w:p>
        </w:tc>
        <w:tc>
          <w:tcPr>
            <w:tcW w:w="257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Source</w:t>
            </w:r>
          </w:p>
        </w:tc>
        <w:tc>
          <w:tcPr>
            <w:tcW w:w="546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>
            <w:tcW w:w="13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Funnel</w:t>
            </w:r>
          </w:p>
        </w:tc>
        <w:tc>
          <w:tcPr>
            <w:tcW w:w="25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v_funnel</w:t>
            </w:r>
          </w:p>
        </w:tc>
        <w:tc>
          <w:tcPr>
            <w:tcW w:w="54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Leads by stage and track, total and last 30 days</w:t>
            </w:r>
          </w:p>
        </w:tc>
      </w:tr>
      <w:tr>
        <w:tc>
          <w:tcPr>
            <w:tcW w:w="132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Revenue</w:t>
            </w:r>
          </w:p>
        </w:tc>
        <w:tc>
          <w:tcPr>
            <w:tcW w:w="257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 stage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paid</w:t>
            </w:r>
          </w:p>
        </w:tc>
        <w:tc>
          <w:tcPr>
            <w:tcW w:w="54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Manual paid flag in V1</w:t>
            </w:r>
          </w:p>
        </w:tc>
      </w:tr>
      <w:tr>
        <w:tc>
          <w:tcPr>
            <w:tcW w:w="13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utilisation</w:t>
            </w:r>
          </w:p>
        </w:tc>
        <w:tc>
          <w:tcPr>
            <w:tcW w:w="25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v_counsellor_utilisation</w:t>
            </w:r>
          </w:p>
        </w:tc>
        <w:tc>
          <w:tcPr>
            <w:tcW w:w="54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Active candidates, sessions and attended minutes in 30 days</w:t>
            </w:r>
          </w:p>
        </w:tc>
      </w:tr>
      <w:tr>
        <w:tc>
          <w:tcPr>
            <w:tcW w:w="132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turnaround</w:t>
            </w:r>
          </w:p>
        </w:tc>
        <w:tc>
          <w:tcPr>
            <w:tcW w:w="257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v_tat</w:t>
            </w:r>
          </w:p>
        </w:tc>
        <w:tc>
          <w:tcPr>
            <w:tcW w:w="54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Days from last completed assessment to first candidate-facing report; pending count</w:t>
            </w:r>
          </w:p>
        </w:tc>
      </w:tr>
      <w:tr>
        <w:tc>
          <w:tcPr>
            <w:tcW w:w="13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NPS</w:t>
            </w:r>
          </w:p>
        </w:tc>
        <w:tc>
          <w:tcPr>
            <w:tcW w:w="25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survey responses</w:t>
            </w:r>
          </w:p>
        </w:tc>
        <w:tc>
          <w:tcPr>
            <w:tcW w:w="54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Net promoter score</w:t>
            </w:r>
          </w:p>
        </w:tc>
      </w:tr>
      <w:tr>
        <w:tc>
          <w:tcPr>
            <w:tcW w:w="132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Outcomes</w:t>
            </w:r>
          </w:p>
        </w:tc>
        <w:tc>
          <w:tcPr>
            <w:tcW w:w="257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v_outcomes</w:t>
            </w:r>
          </w:p>
        </w:tc>
        <w:tc>
          <w:tcPr>
            <w:tcW w:w="54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 6/12/24-month checkpoint: count, % in top 5, average satisfaction</w:t>
            </w:r>
          </w:p>
        </w:tc>
      </w:tr>
    </w:tbl>
    <w:bookmarkEnd w:id="25"/>
    <w:bookmarkStart w:id="29" w:name="X2f861758fb7ecb380da9286827ea2ee9033dcf8"/>
    <w:p>
      <w:pPr>
        <w:pStyle w:val="Heading1"/>
      </w:pPr>
      <w:r>
        <w:t xml:space="preserve">2. Leads (/admin/leads)</w:t>
      </w:r>
    </w:p>
    <w:p>
      <w:pPr>
        <w:pStyle w:val="FirstParagraph"/>
      </w:pPr>
      <w:r>
        <w:drawing>
          <wp:inline>
            <wp:extent cx="5669280" cy="98429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90bac77d07a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98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Pipeline board with stages</w:t>
      </w:r>
      <w:r>
        <w:t xml:space="preserve"> </w:t>
      </w:r>
      <w:r>
        <w:rPr>
          <w:bCs/>
          <w:b/>
        </w:rPr>
        <w:t xml:space="preserve">new → contacted → discovery → paid → active → completed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lost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Open a new lead and assign a counsellor.</w:t>
      </w:r>
    </w:p>
    <w:p>
      <w:pPr>
        <w:numPr>
          <w:ilvl w:val="0"/>
          <w:numId w:val="1002"/>
        </w:numPr>
        <w:pStyle w:val="Compact"/>
      </w:pPr>
      <w:r>
        <w:t xml:space="preserve">Set the next follow-up date.</w:t>
      </w:r>
    </w:p>
    <w:p>
      <w:pPr>
        <w:numPr>
          <w:ilvl w:val="0"/>
          <w:numId w:val="1002"/>
        </w:numPr>
        <w:pStyle w:val="Compact"/>
      </w:pPr>
      <w:r>
        <w:t xml:space="preserve">Move the card as the conversation progresses. Mark</w:t>
      </w:r>
      <w:r>
        <w:t xml:space="preserve"> </w:t>
      </w:r>
      <w:r>
        <w:rPr>
          <w:bCs/>
          <w:b/>
        </w:rPr>
        <w:t xml:space="preserve">paid</w:t>
      </w:r>
      <w:r>
        <w:t xml:space="preserve"> </w:t>
      </w:r>
      <w:r>
        <w:t xml:space="preserve">when payment is received (manual flag).</w:t>
      </w:r>
    </w:p>
    <w:p>
      <w:pPr>
        <w:numPr>
          <w:ilvl w:val="0"/>
          <w:numId w:val="1002"/>
        </w:numPr>
        <w:pStyle w:val="Compact"/>
      </w:pPr>
      <w:r>
        <w:t xml:space="preserve">Convert to a candidate: create the candidate account, link the lead, assign the counsellor and, for minors, link the parent account.</w:t>
      </w:r>
    </w:p>
    <w:p>
      <w:pPr>
        <w:pStyle w:val="FirstParagraph"/>
      </w:pPr>
      <w:r>
        <w:t xml:space="preserve">The public form is rate-limited: the same phone or email can submit 3 times an hour, and the whole form accepts 30 enquiries a minute.</w:t>
      </w:r>
    </w:p>
    <w:bookmarkEnd w:id="29"/>
    <w:bookmarkStart w:id="30" w:name="X218f09ef7bdacc2451ace9a3b77d3ec18f0919a"/>
    <w:p>
      <w:pPr>
        <w:pStyle w:val="Heading1"/>
      </w:pPr>
      <w:r>
        <w:t xml:space="preserve">3. Users and roles</w:t>
      </w:r>
    </w:p>
    <w:p>
      <w:pPr>
        <w:numPr>
          <w:ilvl w:val="0"/>
          <w:numId w:val="1003"/>
        </w:numPr>
        <w:pStyle w:val="Compact"/>
      </w:pPr>
      <w:r>
        <w:t xml:space="preserve">People who sign up themselves can only be candidates or parents.</w:t>
      </w:r>
    </w:p>
    <w:p>
      <w:pPr>
        <w:numPr>
          <w:ilvl w:val="0"/>
          <w:numId w:val="1003"/>
        </w:numPr>
        <w:pStyle w:val="Compact"/>
      </w:pPr>
      <w:r>
        <w:t xml:space="preserve">To create a counsellor or admin, invite the user and then change their role. Only an admin can change a role, and the change is enforced in the database.</w:t>
      </w:r>
    </w:p>
    <w:bookmarkEnd w:id="30"/>
    <w:bookmarkStart w:id="31" w:name="Xdf4dd32f2e05755462496540949829dcc001b4b"/>
    <w:p>
      <w:pPr>
        <w:pStyle w:val="Heading1"/>
      </w:pPr>
      <w:r>
        <w:t xml:space="preserve">4. Counsellors (/admin/counsellors)</w:t>
      </w:r>
    </w:p>
    <w:p>
      <w:pPr>
        <w:pStyle w:val="FirstParagraph"/>
      </w:pPr>
      <w:r>
        <w:t xml:space="preserve">Caseload and report SLA per counsellor. Reassign candidates when someone is overloaded or on leave.</w:t>
      </w:r>
    </w:p>
    <w:bookmarkEnd w:id="31"/>
    <w:bookmarkStart w:id="32" w:name="Xbee0cab23f5b2f92ef1a0b42d1d4f88201fd57c"/>
    <w:p>
      <w:pPr>
        <w:pStyle w:val="Heading1"/>
      </w:pPr>
      <w:r>
        <w:t xml:space="preserve">5. Career library (/admin/careers)</w:t>
      </w:r>
    </w:p>
    <w:p>
      <w:pPr>
        <w:pStyle w:val="FirstParagraph"/>
      </w:pPr>
      <w:r>
        <w:t xml:space="preserve">Edit careers (family, RIASEC code, weights, aptitude minimums, work-style and values fit, description, day in the life, entry paths, salary band, outlook, automation exposure, adjacent emerging roles) and education pathways. When refreshing outlook, record the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and set</w:t>
      </w:r>
      <w:r>
        <w:t xml:space="preserve"> </w:t>
      </w:r>
      <w:r>
        <w:rPr>
          <w:bCs/>
          <w:b/>
        </w:rPr>
        <w:t xml:space="preserve">last reviewed</w:t>
      </w:r>
      <w:r>
        <w:t xml:space="preserve">. You get a quarterly reminder. Seed content is marked "seed – verify before launch" and must be reviewed.</w:t>
      </w:r>
    </w:p>
    <w:bookmarkEnd w:id="32"/>
    <w:bookmarkStart w:id="33" w:name="Xbfbdc7ee11f70448d9f251e400ba4fb2cd1c7bd"/>
    <w:p>
      <w:pPr>
        <w:pStyle w:val="Heading1"/>
      </w:pPr>
      <w:r>
        <w:t xml:space="preserve">6. Streams (/admin/streams)</w:t>
      </w:r>
    </w:p>
    <w:p>
      <w:pPr>
        <w:pStyle w:val="FirstParagraph"/>
      </w:pPr>
      <w:r>
        <w:t xml:space="preserve">Edit stream options per board: subjects, career families each keeps open and closes, notes. CBSE is seeded with 8 streams.</w:t>
      </w:r>
    </w:p>
    <w:bookmarkEnd w:id="33"/>
    <w:bookmarkStart w:id="35" w:name="Xe06c3540b25635c9027942c639a303cf6fe73df"/>
    <w:p>
      <w:pPr>
        <w:pStyle w:val="Heading1"/>
      </w:pPr>
      <w:r>
        <w:t xml:space="preserve">7. Instruments (/admin/instruments)</w:t>
      </w:r>
    </w:p>
    <w:p>
      <w:pPr>
        <w:pStyle w:val="FirstParagraph"/>
      </w:pPr>
      <w:r>
        <w:t xml:space="preserve">Manage versions, upload norms and</w:t>
      </w:r>
      <w:r>
        <w:t xml:space="preserve"> </w:t>
      </w:r>
      <w:r>
        <w:rPr>
          <w:bCs/>
          <w:b/>
        </w:rPr>
        <w:t xml:space="preserve">activate</w:t>
      </w:r>
      <w:r>
        <w:t xml:space="preserve"> </w:t>
      </w:r>
      <w:r>
        <w:t xml:space="preserve">an instrument version. Only active versions are served. Test items, scoring keys and norms are never sent to candidates' browsers. See</w:t>
      </w:r>
      <w:r>
        <w:t xml:space="preserve"> </w:t>
      </w:r>
      <w:hyperlink r:id="rId34">
        <w:r>
          <w:rPr>
            <w:rStyle w:val="Hyperlink"/>
          </w:rPr>
          <w:t xml:space="preserve">SOP-O9</w:t>
        </w:r>
      </w:hyperlink>
      <w:r>
        <w:t xml:space="preserve">.</w:t>
      </w:r>
    </w:p>
    <w:bookmarkEnd w:id="35"/>
    <w:bookmarkStart w:id="36" w:name="X3fff7b3ebc0b9c7b02ac30840a8e7396d85180b"/>
    <w:p>
      <w:pPr>
        <w:pStyle w:val="Heading1"/>
      </w:pPr>
      <w:r>
        <w:t xml:space="preserve">8. Templates (/admin/templates)</w:t>
      </w:r>
    </w:p>
    <w:p>
      <w:pPr>
        <w:pStyle w:val="FirstParagraph"/>
      </w:pPr>
      <w:r>
        <w:t xml:space="preserve">Roadmap templates and session-note templates (by ICCC stage).</w:t>
      </w:r>
    </w:p>
    <w:bookmarkEnd w:id="36"/>
    <w:bookmarkStart w:id="37" w:name="Xe55ab1cb0cf91f36b990f4edbc31a47c7f96264"/>
    <w:p>
      <w:pPr>
        <w:pStyle w:val="Heading1"/>
      </w:pPr>
      <w:r>
        <w:t xml:space="preserve">9. Audit</w:t>
      </w:r>
    </w:p>
    <w:p>
      <w:pPr>
        <w:pStyle w:val="FirstParagraph"/>
      </w:pPr>
      <w:r>
        <w:t xml:space="preserve">Admins can read the audit log (consents, disclaimer acceptances, Swadharma releases). No one, including admins, can edit or delete audit entries or Swadharma releases.</w:t>
      </w:r>
    </w:p>
    <w:bookmarkEnd w:id="37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User guide: Admin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22" Type="http://schemas.openxmlformats.org/officeDocument/2006/relationships/image" Target="media/rId22.png"/><Relationship Id="rId20" Type="http://schemas.openxmlformats.org/officeDocument/2006/relationships/hyperlink" Target="https://github.com/ys77-max/SwadharmaPath/blob/main/docs/sops/operations-sops.md" TargetMode="External"/><Relationship Id="rId34" Type="http://schemas.openxmlformats.org/officeDocument/2006/relationships/hyperlink" Target="https://github.com/ys77-max/SwadharmaPath/blob/main/docs/sops/operations-sops.md#sop-o9-instrument-version-change" TargetMode="External"/><Relationship Id="rId21" Type="http://schemas.openxmlformats.org/officeDocument/2006/relationships/hyperlink" Target="https://github.com/ys77-max/SwadharmaPath/blob/main/docs/sops/technical-sops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s77-max/SwadharmaPath/blob/main/docs/sops/operations-sops.md" TargetMode="External"/><Relationship Id="rId34" Type="http://schemas.openxmlformats.org/officeDocument/2006/relationships/hyperlink" Target="https://github.com/ys77-max/SwadharmaPath/blob/main/docs/sops/operations-sops.md#sop-o9-instrument-version-change" TargetMode="External"/><Relationship Id="rId21" Type="http://schemas.openxmlformats.org/officeDocument/2006/relationships/hyperlink" Target="https://github.com/ys77-max/SwadharmaPath/blob/main/docs/sops/technical-sop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User guide: Admin</dc:title>
  <dc:creator>SwadharmaPath</dc:creator>
  <cp:keywords/>
  <dcterms:created xsi:type="dcterms:W3CDTF">2026-10-24T12:26:55Z</dcterms:created>
  <dcterms:modified xsi:type="dcterms:W3CDTF">2026-10-24T12:26:55Z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