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User guide: Parent and guardian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Parents and guardians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FirstParagraph"/>
      </w:pPr>
      <w:r>
        <w:t xml:space="preserve">For parents and guardians linked to a candidate. Your home page is</w:t>
      </w:r>
      <w:r>
        <w:t xml:space="preserve"> </w:t>
      </w:r>
      <w:r>
        <w:rPr>
          <w:bCs/>
          <w:b/>
        </w:rPr>
        <w:t xml:space="preserve">/family</w:t>
      </w:r>
      <w:r>
        <w:t xml:space="preserve">.</w:t>
      </w:r>
    </w:p>
    <w:p>
      <w:pPr>
        <w:pStyle w:val="BlockText"/>
      </w:pPr>
      <w:r>
        <w:t xml:space="preserve">Last updated 2026-10-24. See also</w:t>
      </w:r>
      <w:r>
        <w:t xml:space="preserve"> </w:t>
      </w:r>
      <w:hyperlink r:id="rId20">
        <w:r>
          <w:rPr>
            <w:rStyle w:val="Hyperlink"/>
          </w:rPr>
          <w:t xml:space="preserve">Self-help troubleshooting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ad6e3b2ebd9958a12bcfad0487c93c55e98b4aa">
        <w:r>
          <w:rPr>
            <w:rStyle w:val="Hyperlink"/>
          </w:rPr>
          <w:t xml:space="preserve">1. Signing in</w:t>
        </w:r>
      </w:hyperlink>
    </w:p>
    <w:p>
      <w:pPr>
        <w:numPr>
          <w:ilvl w:val="0"/>
          <w:numId w:val="1001"/>
        </w:numPr>
        <w:pStyle w:val="Compact"/>
      </w:pPr>
      <w:hyperlink w:anchor="X1c54fac6aee71d110c187675d0f00d700714d9a">
        <w:r>
          <w:rPr>
            <w:rStyle w:val="Hyperlink"/>
          </w:rPr>
          <w:t xml:space="preserve">2. Giving consent for a child under 18</w:t>
        </w:r>
      </w:hyperlink>
    </w:p>
    <w:p>
      <w:pPr>
        <w:numPr>
          <w:ilvl w:val="0"/>
          <w:numId w:val="1001"/>
        </w:numPr>
        <w:pStyle w:val="Compact"/>
      </w:pPr>
      <w:hyperlink w:anchor="Xef259205acc2367c08df0dd7d9d57e2492b8eb9">
        <w:r>
          <w:rPr>
            <w:rStyle w:val="Hyperlink"/>
          </w:rPr>
          <w:t xml:space="preserve">3. Birth details and the Swadharma lens (optional)</w:t>
        </w:r>
      </w:hyperlink>
    </w:p>
    <w:p>
      <w:pPr>
        <w:numPr>
          <w:ilvl w:val="0"/>
          <w:numId w:val="1001"/>
        </w:numPr>
        <w:pStyle w:val="Compact"/>
      </w:pPr>
      <w:hyperlink w:anchor="X1e9af6e312e0b6748561796030545751aa61b3d">
        <w:r>
          <w:rPr>
            <w:rStyle w:val="Hyperlink"/>
          </w:rPr>
          <w:t xml:space="preserve">4. What you can see on /family</w:t>
        </w:r>
      </w:hyperlink>
    </w:p>
    <w:p>
      <w:pPr>
        <w:numPr>
          <w:ilvl w:val="0"/>
          <w:numId w:val="1001"/>
        </w:numPr>
        <w:pStyle w:val="Compact"/>
      </w:pPr>
      <w:hyperlink w:anchor="X06d569b99cdd6031598148c561d82dab5395c74">
        <w:r>
          <w:rPr>
            <w:rStyle w:val="Hyperlink"/>
          </w:rPr>
          <w:t xml:space="preserve">5. Roadmap items owned by parents</w:t>
        </w:r>
      </w:hyperlink>
    </w:p>
    <w:p>
      <w:pPr>
        <w:numPr>
          <w:ilvl w:val="0"/>
          <w:numId w:val="1001"/>
        </w:numPr>
        <w:pStyle w:val="Compact"/>
      </w:pPr>
      <w:hyperlink w:anchor="Xe3897e33a5be85934b75a96c50aec1233fd0750">
        <w:r>
          <w:rPr>
            <w:rStyle w:val="Hyperlink"/>
          </w:rPr>
          <w:t xml:space="preserve">6. Reports</w:t>
        </w:r>
      </w:hyperlink>
    </w:p>
    <w:p>
      <w:pPr>
        <w:numPr>
          <w:ilvl w:val="0"/>
          <w:numId w:val="1001"/>
        </w:numPr>
        <w:pStyle w:val="Compact"/>
      </w:pPr>
      <w:hyperlink w:anchor="X5be67356e66a7a61fcf4b960e802094f522f15f">
        <w:r>
          <w:rPr>
            <w:rStyle w:val="Hyperlink"/>
          </w:rPr>
          <w:t xml:space="preserve">7. Disclaimer</w:t>
        </w:r>
      </w:hyperlink>
    </w:p>
    <w:bookmarkStart w:id="21" w:name="Xad6e3b2ebd9958a12bcfad0487c93c55e98b4aa"/>
    <w:p>
      <w:pPr>
        <w:pStyle w:val="Heading1"/>
        <w:pageBreakBefore/>
      </w:pPr>
      <w:r>
        <w:t xml:space="preserve">1. Signing in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/login</w:t>
      </w:r>
      <w:r>
        <w:t xml:space="preserve"> </w:t>
      </w:r>
      <w:r>
        <w:t xml:space="preserve">and use your email and password or your phone number and one-time code. The agency links your account to your child's profile.</w:t>
      </w:r>
    </w:p>
    <w:bookmarkEnd w:id="21"/>
    <w:bookmarkStart w:id="25" w:name="X1c54fac6aee71d110c187675d0f00d700714d9a"/>
    <w:p>
      <w:pPr>
        <w:pStyle w:val="Heading1"/>
      </w:pPr>
      <w:r>
        <w:t xml:space="preserve">2. Giving consent for a child under 18</w:t>
      </w:r>
    </w:p>
    <w:p>
      <w:pPr>
        <w:pStyle w:val="FirstParagraph"/>
      </w:pPr>
      <w:r>
        <w:drawing>
          <wp:inline>
            <wp:extent cx="5669280" cy="96893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6356c6e2e4e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96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Children under 18 cannot start any assessment until you give consent.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/family</w:t>
      </w:r>
      <w:r>
        <w:t xml:space="preserve"> </w:t>
      </w:r>
      <w:r>
        <w:t xml:space="preserve">and select your child.</w:t>
      </w:r>
    </w:p>
    <w:p>
      <w:pPr>
        <w:numPr>
          <w:ilvl w:val="0"/>
          <w:numId w:val="1002"/>
        </w:numPr>
        <w:pStyle w:val="Compact"/>
      </w:pPr>
      <w:r>
        <w:t xml:space="preserve">Read the consent notice and press</w:t>
      </w:r>
      <w:r>
        <w:t xml:space="preserve"> </w:t>
      </w:r>
      <w:r>
        <w:rPr>
          <w:bCs/>
          <w:b/>
        </w:rPr>
        <w:t xml:space="preserve">Give consent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time of consent is recorded. Your child can now start the assessments.</w:t>
      </w:r>
    </w:p>
    <w:p>
      <w:pPr>
        <w:pStyle w:val="FirstParagraph"/>
      </w:pPr>
      <w:r>
        <w:t xml:space="preserve">If your child's date of birth is missing, the system treats them as under 18 and still asks for your consent.</w:t>
      </w:r>
    </w:p>
    <w:bookmarkEnd w:id="25"/>
    <w:bookmarkStart w:id="26" w:name="Xef259205acc2367c08df0dd7d9d57e2492b8eb9"/>
    <w:p>
      <w:pPr>
        <w:pStyle w:val="Heading1"/>
      </w:pPr>
      <w:r>
        <w:t xml:space="preserve">3. Birth details and the Swadharma lens (optional)</w:t>
      </w:r>
    </w:p>
    <w:p>
      <w:pPr>
        <w:pStyle w:val="FirstParagraph"/>
      </w:pPr>
      <w:r>
        <w:t xml:space="preserve">You or your child may submit birth details for the Swadharma (Vedic astrology) lens after ticking the consent box. After submitting:</w:t>
      </w:r>
    </w:p>
    <w:p>
      <w:pPr>
        <w:numPr>
          <w:ilvl w:val="0"/>
          <w:numId w:val="1003"/>
        </w:numPr>
        <w:pStyle w:val="Compact"/>
      </w:pPr>
      <w:r>
        <w:t xml:space="preserve">You cannot view the details again; only the counsellor and admin can.</w:t>
      </w:r>
    </w:p>
    <w:p>
      <w:pPr>
        <w:numPr>
          <w:ilvl w:val="0"/>
          <w:numId w:val="1003"/>
        </w:numPr>
        <w:pStyle w:val="Compact"/>
      </w:pPr>
      <w:r>
        <w:t xml:space="preserve">The analysis is a reflection lens only. It is never used to rule out a career.</w:t>
      </w:r>
    </w:p>
    <w:p>
      <w:pPr>
        <w:numPr>
          <w:ilvl w:val="0"/>
          <w:numId w:val="1003"/>
        </w:numPr>
        <w:pStyle w:val="Compact"/>
      </w:pPr>
      <w:r>
        <w:t xml:space="preserve">You see a Swadharma Report only if the counsellor deliberately releases it to you. That release is logged.</w:t>
      </w:r>
    </w:p>
    <w:bookmarkEnd w:id="26"/>
    <w:bookmarkStart w:id="30" w:name="X1e9af6e312e0b6748561796030545751aa61b3d"/>
    <w:p>
      <w:pPr>
        <w:pStyle w:val="Heading1"/>
      </w:pPr>
      <w:r>
        <w:t xml:space="preserve">4. What you can see on /family</w:t>
      </w:r>
    </w:p>
    <w:p>
      <w:pPr>
        <w:pStyle w:val="FirstParagraph"/>
      </w:pPr>
      <w:r>
        <w:drawing>
          <wp:inline>
            <wp:extent cx="5669280" cy="366980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1ba4f3db2a1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69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534"/>
        <w:gridCol w:w="6820"/>
      </w:tblGrid>
      <w:tr>
        <w:trPr>
          <w:tblHeader w:val="true"/>
          <w:tblHeader/>
        </w:trPr>
        <w:tc>
          <w:tcPr>
            <w:tcW w:w="253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Section</w:t>
            </w:r>
          </w:p>
        </w:tc>
        <w:tc>
          <w:tcPr>
            <w:tcW w:w="682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What it shows</w:t>
            </w:r>
          </w:p>
        </w:tc>
      </w:tr>
      <w:tr>
        <w:tc>
          <w:tcPr>
            <w:tcW w:w="25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Linked children</w:t>
            </w:r>
          </w:p>
        </w:tc>
        <w:tc>
          <w:tcPr>
            <w:tcW w:w="68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Each child linked to your account</w:t>
            </w:r>
          </w:p>
        </w:tc>
      </w:tr>
      <w:tr>
        <w:tc>
          <w:tcPr>
            <w:tcW w:w="25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Progress</w:t>
            </w:r>
          </w:p>
        </w:tc>
        <w:tc>
          <w:tcPr>
            <w:tcW w:w="682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Percentage through the journey</w:t>
            </w:r>
          </w:p>
        </w:tc>
      </w:tr>
      <w:tr>
        <w:tc>
          <w:tcPr>
            <w:tcW w:w="25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Next session</w:t>
            </w:r>
          </w:p>
        </w:tc>
        <w:tc>
          <w:tcPr>
            <w:tcW w:w="68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Date, time and meeting link</w:t>
            </w:r>
          </w:p>
        </w:tc>
      </w:tr>
      <w:tr>
        <w:tc>
          <w:tcPr>
            <w:tcW w:w="25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summary</w:t>
            </w:r>
          </w:p>
        </w:tc>
        <w:tc>
          <w:tcPr>
            <w:tcW w:w="682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The 2-page parent report once released</w:t>
            </w:r>
          </w:p>
        </w:tc>
      </w:tr>
      <w:tr>
        <w:tc>
          <w:tcPr>
            <w:tcW w:w="25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Roadmap</w:t>
            </w:r>
          </w:p>
        </w:tc>
        <w:tc>
          <w:tcPr>
            <w:tcW w:w="68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Your child's published plan (read-only)</w:t>
            </w:r>
          </w:p>
        </w:tc>
      </w:tr>
      <w:tr>
        <w:tc>
          <w:tcPr>
            <w:tcW w:w="25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Message counsellor</w:t>
            </w:r>
          </w:p>
        </w:tc>
        <w:tc>
          <w:tcPr>
            <w:tcW w:w="682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Send a note to the assigned counsellor</w:t>
            </w:r>
          </w:p>
        </w:tc>
      </w:tr>
    </w:tbl>
    <w:p>
      <w:pPr>
        <w:pStyle w:val="BodyText"/>
      </w:pPr>
      <w:r>
        <w:t xml:space="preserve">You see results, options and reports only after the counsellor approves, publishes or releases them. Private session notes are never shown.</w:t>
      </w:r>
    </w:p>
    <w:bookmarkEnd w:id="30"/>
    <w:bookmarkStart w:id="31" w:name="X06d569b99cdd6031598148c561d82dab5395c74"/>
    <w:p>
      <w:pPr>
        <w:pStyle w:val="Heading1"/>
      </w:pPr>
      <w:r>
        <w:t xml:space="preserve">5. Roadmap items owned by parents</w:t>
      </w:r>
    </w:p>
    <w:p>
      <w:pPr>
        <w:pStyle w:val="FirstParagraph"/>
      </w:pPr>
      <w:r>
        <w:t xml:space="preserve">Some roadmap items may be assigned to you (for example "Visit two colleges"). You get a reminder if one becomes overdue. Ask the counsellor to update parent-owned items, or follow the instructions on the item.</w:t>
      </w:r>
    </w:p>
    <w:bookmarkEnd w:id="31"/>
    <w:bookmarkStart w:id="32" w:name="Xe3897e33a5be85934b75a96c50aec1233fd0750"/>
    <w:p>
      <w:pPr>
        <w:pStyle w:val="Heading1"/>
      </w:pPr>
      <w:r>
        <w:t xml:space="preserve">6. Reports</w:t>
      </w:r>
    </w:p>
    <w:p>
      <w:pPr>
        <w:pStyle w:val="FirstParagraph"/>
      </w:pPr>
      <w:r>
        <w:t xml:space="preserve">Released reports appear for download. Each download link is valid for 15 minutes; open it again if it expires.</w:t>
      </w:r>
    </w:p>
    <w:bookmarkEnd w:id="32"/>
    <w:bookmarkStart w:id="33" w:name="X5be67356e66a7a61fcf4b960e802094f522f15f"/>
    <w:p>
      <w:pPr>
        <w:pStyle w:val="Heading1"/>
      </w:pPr>
      <w:r>
        <w:t xml:space="preserve">7. Disclaimer</w:t>
      </w:r>
    </w:p>
    <w:p>
      <w:pPr>
        <w:pStyle w:val="FirstParagraph"/>
      </w:pPr>
      <w:r>
        <w:t xml:space="preserve">"SwadharmaPath supports career decisions; it does not make them. Psychometric results describe tendencies at a point in time and are interpreted by a trained counsellor; they are not a measure of worth or a guarantee of success. The Swadharma (Vedic astrology) analysis is a traditional lens offered for reflection; it has no established scientific validity, is never used to rule out any career, and is shared only with your consent. Decisions remain yours and your family's."</w:t>
      </w:r>
    </w:p>
    <w:bookmarkEnd w:id="33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User guide: Parent and guardian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22" Type="http://schemas.openxmlformats.org/officeDocument/2006/relationships/image" Target="media/rId22.png"/><Relationship Id="rId20" Type="http://schemas.openxmlformats.org/officeDocument/2006/relationships/hyperlink" Target="https://github.com/ys77-max/SwadharmaPath/blob/main/docs/troubleshooting/troubleshooting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s77-max/SwadharmaPath/blob/main/docs/troubleshooting/troubleshoot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User guide: Parent and guardian</dc:title>
  <dc:creator>SwadharmaPath</dc:creator>
  <cp:keywords/>
  <dcterms:created xsi:type="dcterms:W3CDTF">2026-10-24T12:26:55Z</dcterms:created>
  <dcterms:modified xsi:type="dcterms:W3CDTF">2026-10-24T12:26:55Z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