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5E5E"/>
          </w:tcPr>
          <w:p>
            <w:pPr>
              <w:spacing w:before="360" w:after="40"/>
              <w:ind w:left="340"/>
            </w:pPr>
            <w:r>
              <w:rPr>
                <w:b/>
                <w:color w:val="FFFFFF"/>
                <w:sz w:val="64"/>
              </w:rPr>
              <w:t>SwadharmaPath</w:t>
            </w:r>
          </w:p>
          <w:p>
            <w:pPr>
              <w:spacing w:after="360"/>
              <w:ind w:left="340"/>
            </w:pPr>
            <w:r>
              <w:rPr>
                <w:color w:val="F6EBDD"/>
                <w:sz w:val="36"/>
              </w:rPr>
              <w:t>Technical SOPs</w:t>
            </w:r>
          </w:p>
        </w:tc>
      </w:tr>
    </w:tbl>
    <w:p>
      <w:pPr>
        <w:spacing w:after="120"/>
        <w:jc w:val="left"/>
      </w:pPr>
    </w:p>
    <w:p>
      <w:pPr>
        <w:spacing w:after="480"/>
        <w:jc w:val="left"/>
      </w:pPr>
      <w:r>
        <w:rPr>
          <w:b w:val="0"/>
          <w:color w:val="0F5E5E"/>
          <w:sz w:val="24"/>
        </w:rPr>
        <w:t>Career counselling platform: from enquiry to a tracked career roadmap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Audience:  </w:t>
      </w:r>
      <w:r>
        <w:rPr>
          <w:sz w:val="21"/>
        </w:rPr>
        <w:t>Developers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Last updated:  </w:t>
      </w:r>
      <w:r>
        <w:rPr>
          <w:sz w:val="21"/>
        </w:rPr>
        <w:t>2026-10-24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Source:  </w:t>
      </w:r>
      <w:r>
        <w:rPr>
          <w:sz w:val="21"/>
        </w:rPr>
        <w:t>docs/ in the SwadharmaPath repository (Markdown is the master copy)</w:t>
      </w:r>
    </w:p>
    <w:p>
      <w:pPr>
        <w:spacing w:after="0"/>
        <w:jc w:val="left"/>
      </w:pPr>
      <w:r>
        <w:br w:type="page"/>
      </w:r>
    </w:p>
    <w:p>
      <w:pPr>
        <w:pStyle w:val="FirstParagraph"/>
      </w:pPr>
      <w:r>
        <w:t xml:space="preserve">Procedures for developers and the technical owner.</w:t>
      </w:r>
    </w:p>
    <w:p>
      <w:pPr>
        <w:pStyle w:val="BlockText"/>
      </w:pPr>
      <w:r>
        <w:t xml:space="preserve">Last updated 2026-10-24.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890"/>
        <w:gridCol w:w="8464"/>
      </w:tblGrid>
      <w:tr>
        <w:trPr>
          <w:tblHeader w:val="true"/>
          <w:tblHeader/>
        </w:trPr>
        <w:tc>
          <w:tcPr>
            <w:tcW w:w="89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8464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SOP</w:t>
            </w:r>
          </w:p>
        </w:tc>
      </w:tr>
      <w:tr>
        <w:tc>
          <w:tcPr>
            <w:tcW w:w="8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T1</w:t>
            </w:r>
          </w:p>
        </w:tc>
        <w:tc>
          <w:tcPr>
            <w:tcW w:w="8464" w:type="dxa"/>
          </w:tcPr>
          <w:p>
            <w:pPr>
              <w:pStyle w:val="Compact"/>
              <w:spacing w:after="40" w:before="40"/>
              <w:jc w:val="left"/>
            </w:pPr>
            <w:hyperlink w:anchor="sop-t1-release-and-deployment">
              <w:r>
                <w:rPr>
                  <w:rStyle w:val="Hyperlink"/>
                </w:rPr>
                <w:t xml:space="preserve">Release and deployment</w:t>
              </w:r>
            </w:hyperlink>
          </w:p>
        </w:tc>
      </w:tr>
      <w:tr>
        <w:tc>
          <w:tcPr>
            <w:tcW w:w="89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T2</w:t>
            </w:r>
          </w:p>
        </w:tc>
        <w:tc>
          <w:tcPr>
            <w:tcW w:w="846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sop-t2-database-migration">
              <w:r>
                <w:rPr>
                  <w:rStyle w:val="Hyperlink"/>
                </w:rPr>
                <w:t xml:space="preserve">Database migration</w:t>
              </w:r>
            </w:hyperlink>
          </w:p>
        </w:tc>
      </w:tr>
      <w:tr>
        <w:tc>
          <w:tcPr>
            <w:tcW w:w="8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T3</w:t>
            </w:r>
          </w:p>
        </w:tc>
        <w:tc>
          <w:tcPr>
            <w:tcW w:w="8464" w:type="dxa"/>
          </w:tcPr>
          <w:p>
            <w:pPr>
              <w:pStyle w:val="Compact"/>
              <w:spacing w:after="40" w:before="40"/>
              <w:jc w:val="left"/>
            </w:pPr>
            <w:hyperlink w:anchor="sop-t3-regenerating-seed-data">
              <w:r>
                <w:rPr>
                  <w:rStyle w:val="Hyperlink"/>
                </w:rPr>
                <w:t xml:space="preserve">Regenerating seed data</w:t>
              </w:r>
            </w:hyperlink>
          </w:p>
        </w:tc>
      </w:tr>
      <w:tr>
        <w:tc>
          <w:tcPr>
            <w:tcW w:w="89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T4</w:t>
            </w:r>
          </w:p>
        </w:tc>
        <w:tc>
          <w:tcPr>
            <w:tcW w:w="846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sop-t4-worker-operations">
              <w:r>
                <w:rPr>
                  <w:rStyle w:val="Hyperlink"/>
                </w:rPr>
                <w:t xml:space="preserve">Worker operations</w:t>
              </w:r>
            </w:hyperlink>
          </w:p>
        </w:tc>
      </w:tr>
      <w:tr>
        <w:tc>
          <w:tcPr>
            <w:tcW w:w="8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T5</w:t>
            </w:r>
          </w:p>
        </w:tc>
        <w:tc>
          <w:tcPr>
            <w:tcW w:w="8464" w:type="dxa"/>
          </w:tcPr>
          <w:p>
            <w:pPr>
              <w:pStyle w:val="Compact"/>
              <w:spacing w:after="40" w:before="40"/>
              <w:jc w:val="left"/>
            </w:pPr>
            <w:hyperlink w:anchor="sop-t5-secret-rotation">
              <w:r>
                <w:rPr>
                  <w:rStyle w:val="Hyperlink"/>
                </w:rPr>
                <w:t xml:space="preserve">Secret rotation</w:t>
              </w:r>
            </w:hyperlink>
          </w:p>
        </w:tc>
      </w:tr>
      <w:tr>
        <w:tc>
          <w:tcPr>
            <w:tcW w:w="89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T6</w:t>
            </w:r>
          </w:p>
        </w:tc>
        <w:tc>
          <w:tcPr>
            <w:tcW w:w="846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sop-t6-backup-and-restore">
              <w:r>
                <w:rPr>
                  <w:rStyle w:val="Hyperlink"/>
                </w:rPr>
                <w:t xml:space="preserve">Backup and restore</w:t>
              </w:r>
            </w:hyperlink>
          </w:p>
        </w:tc>
      </w:tr>
      <w:tr>
        <w:tc>
          <w:tcPr>
            <w:tcW w:w="8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T7</w:t>
            </w:r>
          </w:p>
        </w:tc>
        <w:tc>
          <w:tcPr>
            <w:tcW w:w="8464" w:type="dxa"/>
          </w:tcPr>
          <w:p>
            <w:pPr>
              <w:pStyle w:val="Compact"/>
              <w:spacing w:after="40" w:before="40"/>
              <w:jc w:val="left"/>
            </w:pPr>
            <w:hyperlink w:anchor="sop-t7-incident-response">
              <w:r>
                <w:rPr>
                  <w:rStyle w:val="Hyperlink"/>
                </w:rPr>
                <w:t xml:space="preserve">Incident response</w:t>
              </w:r>
            </w:hyperlink>
          </w:p>
        </w:tc>
      </w:tr>
      <w:tr>
        <w:tc>
          <w:tcPr>
            <w:tcW w:w="89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T8</w:t>
            </w:r>
          </w:p>
        </w:tc>
        <w:tc>
          <w:tcPr>
            <w:tcW w:w="8464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sop-t8-documentation-maintenance">
              <w:r>
                <w:rPr>
                  <w:rStyle w:val="Hyperlink"/>
                </w:rPr>
                <w:t xml:space="preserve">Documentation maintenance</w:t>
              </w:r>
            </w:hyperlink>
          </w:p>
        </w:tc>
      </w:tr>
      <w:tr>
        <w:tc>
          <w:tcPr>
            <w:tcW w:w="89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T9</w:t>
            </w:r>
          </w:p>
        </w:tc>
        <w:tc>
          <w:tcPr>
            <w:tcW w:w="8464" w:type="dxa"/>
          </w:tcPr>
          <w:p>
            <w:pPr>
              <w:pStyle w:val="Compact"/>
              <w:spacing w:after="40" w:before="40"/>
              <w:jc w:val="left"/>
            </w:pPr>
            <w:hyperlink w:anchor="sop-t9-word-docx-versions-of-the-docs">
              <w:r>
                <w:rPr>
                  <w:rStyle w:val="Hyperlink"/>
                </w:rPr>
                <w:t xml:space="preserve">Word (.docx) versions of the docs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sop-t1-release-and-deployment">
        <w:r>
          <w:rPr>
            <w:rStyle w:val="Hyperlink"/>
          </w:rPr>
          <w:t xml:space="preserve">SOP-T1 Release and deployment</w:t>
        </w:r>
      </w:hyperlink>
    </w:p>
    <w:p>
      <w:pPr>
        <w:numPr>
          <w:ilvl w:val="0"/>
          <w:numId w:val="1001"/>
        </w:numPr>
        <w:pStyle w:val="Compact"/>
      </w:pPr>
      <w:hyperlink w:anchor="sop-t2-database-migration">
        <w:r>
          <w:rPr>
            <w:rStyle w:val="Hyperlink"/>
          </w:rPr>
          <w:t xml:space="preserve">SOP-T2 Database migration</w:t>
        </w:r>
      </w:hyperlink>
    </w:p>
    <w:p>
      <w:pPr>
        <w:numPr>
          <w:ilvl w:val="0"/>
          <w:numId w:val="1001"/>
        </w:numPr>
        <w:pStyle w:val="Compact"/>
      </w:pPr>
      <w:hyperlink w:anchor="sop-t3-regenerating-seed-data">
        <w:r>
          <w:rPr>
            <w:rStyle w:val="Hyperlink"/>
          </w:rPr>
          <w:t xml:space="preserve">SOP-T3 Regenerating seed data</w:t>
        </w:r>
      </w:hyperlink>
    </w:p>
    <w:p>
      <w:pPr>
        <w:numPr>
          <w:ilvl w:val="0"/>
          <w:numId w:val="1001"/>
        </w:numPr>
        <w:pStyle w:val="Compact"/>
      </w:pPr>
      <w:hyperlink w:anchor="sop-t4-worker-operations">
        <w:r>
          <w:rPr>
            <w:rStyle w:val="Hyperlink"/>
          </w:rPr>
          <w:t xml:space="preserve">SOP-T4 Worker operations</w:t>
        </w:r>
      </w:hyperlink>
    </w:p>
    <w:p>
      <w:pPr>
        <w:numPr>
          <w:ilvl w:val="0"/>
          <w:numId w:val="1001"/>
        </w:numPr>
        <w:pStyle w:val="Compact"/>
      </w:pPr>
      <w:hyperlink w:anchor="sop-t5-secret-rotation">
        <w:r>
          <w:rPr>
            <w:rStyle w:val="Hyperlink"/>
          </w:rPr>
          <w:t xml:space="preserve">SOP-T5 Secret rotation</w:t>
        </w:r>
      </w:hyperlink>
    </w:p>
    <w:p>
      <w:pPr>
        <w:numPr>
          <w:ilvl w:val="0"/>
          <w:numId w:val="1001"/>
        </w:numPr>
        <w:pStyle w:val="Compact"/>
      </w:pPr>
      <w:hyperlink w:anchor="sop-t6-backup-and-restore">
        <w:r>
          <w:rPr>
            <w:rStyle w:val="Hyperlink"/>
          </w:rPr>
          <w:t xml:space="preserve">SOP-T6 Backup and restore</w:t>
        </w:r>
      </w:hyperlink>
    </w:p>
    <w:p>
      <w:pPr>
        <w:numPr>
          <w:ilvl w:val="0"/>
          <w:numId w:val="1001"/>
        </w:numPr>
        <w:pStyle w:val="Compact"/>
      </w:pPr>
      <w:hyperlink w:anchor="sop-t7-incident-response">
        <w:r>
          <w:rPr>
            <w:rStyle w:val="Hyperlink"/>
          </w:rPr>
          <w:t xml:space="preserve">SOP-T7 Incident response</w:t>
        </w:r>
      </w:hyperlink>
    </w:p>
    <w:p>
      <w:pPr>
        <w:numPr>
          <w:ilvl w:val="0"/>
          <w:numId w:val="1001"/>
        </w:numPr>
        <w:pStyle w:val="Compact"/>
      </w:pPr>
      <w:hyperlink w:anchor="sop-t8-documentation-maintenance">
        <w:r>
          <w:rPr>
            <w:rStyle w:val="Hyperlink"/>
          </w:rPr>
          <w:t xml:space="preserve">SOP-T8 Documentation maintenance</w:t>
        </w:r>
      </w:hyperlink>
    </w:p>
    <w:p>
      <w:pPr>
        <w:numPr>
          <w:ilvl w:val="0"/>
          <w:numId w:val="1001"/>
        </w:numPr>
        <w:pStyle w:val="Compact"/>
      </w:pPr>
      <w:hyperlink w:anchor="sop-t9-word-docx-versions-of-the-docs">
        <w:r>
          <w:rPr>
            <w:rStyle w:val="Hyperlink"/>
          </w:rPr>
          <w:t xml:space="preserve">SOP-T9 Word (.docx) versions of the docs</w:t>
        </w:r>
      </w:hyperlink>
    </w:p>
    <w:bookmarkStart w:id="23" w:name="sop-t1-release-and-deployment"/>
    <w:p>
      <w:pPr>
        <w:pStyle w:val="Heading1"/>
        <w:pageBreakBefore/>
      </w:pPr>
      <w:r>
        <w:t xml:space="preserve">SOP-T1 Release and deployment</w:t>
      </w:r>
    </w:p>
    <w:p>
      <w:pPr>
        <w:pStyle w:val="FirstParagraph"/>
      </w:pPr>
      <w:r>
        <w:drawing>
          <wp:inline>
            <wp:extent cx="5669280" cy="124208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9f5311cedbd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242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  <w:pStyle w:val="Compact"/>
      </w:pPr>
      <w:r>
        <w:t xml:space="preserve">Every change goes through a pull request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CI must be green, including the</w:t>
      </w:r>
      <w:r>
        <w:t xml:space="preserve"> </w:t>
      </w:r>
      <w:r>
        <w:rPr>
          <w:bCs/>
          <w:b/>
        </w:rPr>
        <w:t xml:space="preserve">docs check</w:t>
      </w:r>
      <w:r>
        <w:t xml:space="preserve"> </w:t>
      </w:r>
      <w:r>
        <w:t xml:space="preserve">(code changes need matching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changes).</w:t>
      </w:r>
    </w:p>
    <w:p>
      <w:pPr>
        <w:numPr>
          <w:ilvl w:val="0"/>
          <w:numId w:val="1002"/>
        </w:numPr>
        <w:pStyle w:val="Compact"/>
      </w:pPr>
      <w:r>
        <w:t xml:space="preserve">Database changes: run</w:t>
      </w:r>
      <w:r>
        <w:t xml:space="preserve"> </w:t>
      </w:r>
      <w:r>
        <w:rPr>
          <w:rStyle w:val="VerbatimChar"/>
        </w:rPr>
        <w:t xml:space="preserve">supabase/tests/run.sh</w:t>
      </w:r>
      <w:r>
        <w:t xml:space="preserve"> </w:t>
      </w:r>
      <w:r>
        <w:t xml:space="preserve">locally; apply to staging first (</w:t>
      </w:r>
      <w:hyperlink w:anchor="sop-t2-database-migration">
        <w:r>
          <w:rPr>
            <w:rStyle w:val="Hyperlink"/>
          </w:rPr>
          <w:t xml:space="preserve">SOP-T2</w:t>
        </w:r>
      </w:hyperlink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Merge. Vercel deploys the web app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Railway deploys the worker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Smoke test production: login as each role with test accounts, open /me, /family, /cases, /admin; submit a test enquiry.</w:t>
      </w:r>
    </w:p>
    <w:p>
      <w:pPr>
        <w:numPr>
          <w:ilvl w:val="0"/>
          <w:numId w:val="1002"/>
        </w:numPr>
        <w:pStyle w:val="Compact"/>
      </w:pPr>
      <w:r>
        <w:t xml:space="preserve">Note the release in the change history of any doc you changed.</w:t>
      </w:r>
    </w:p>
    <w:p>
      <w:pPr>
        <w:pStyle w:val="FirstParagraph"/>
      </w:pPr>
      <w:r>
        <w:rPr>
          <w:bCs/>
          <w:b/>
        </w:rPr>
        <w:t xml:space="preserve">Rollback:</w:t>
      </w:r>
      <w:r>
        <w:t xml:space="preserve"> </w:t>
      </w:r>
      <w:r>
        <w:t xml:space="preserve">web — redeploy the previous Vercel deployment; worker — redeploy the previous Railway release; database — write a forward-fixing migration (never edit an applied migration).</w:t>
      </w:r>
    </w:p>
    <w:bookmarkEnd w:id="23"/>
    <w:bookmarkStart w:id="25" w:name="sop-t2-database-migration"/>
    <w:p>
      <w:pPr>
        <w:pStyle w:val="Heading1"/>
      </w:pPr>
      <w:r>
        <w:t xml:space="preserve">SOP-T2 Database migration</w:t>
      </w:r>
    </w:p>
    <w:p>
      <w:pPr>
        <w:numPr>
          <w:ilvl w:val="0"/>
          <w:numId w:val="1003"/>
        </w:numPr>
        <w:pStyle w:val="Compact"/>
      </w:pPr>
      <w:r>
        <w:t xml:space="preserve">Add a new file</w:t>
      </w:r>
      <w:r>
        <w:t xml:space="preserve"> </w:t>
      </w:r>
      <w:r>
        <w:rPr>
          <w:rStyle w:val="VerbatimChar"/>
        </w:rPr>
        <w:t xml:space="preserve">supabase/migrations/NNN_description.sql</w:t>
      </w:r>
      <w:r>
        <w:t xml:space="preserve">. Do not edit an applied migration.</w:t>
      </w:r>
    </w:p>
    <w:p>
      <w:pPr>
        <w:numPr>
          <w:ilvl w:val="0"/>
          <w:numId w:val="1003"/>
        </w:numPr>
        <w:pStyle w:val="Compact"/>
      </w:pPr>
      <w:r>
        <w:t xml:space="preserve">Every new table: enable RLS and add policies. Sensitive tables get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candidate/parent policy.</w:t>
      </w:r>
    </w:p>
    <w:p>
      <w:pPr>
        <w:numPr>
          <w:ilvl w:val="0"/>
          <w:numId w:val="1003"/>
        </w:numPr>
        <w:pStyle w:val="Compact"/>
      </w:pPr>
      <w:r>
        <w:t xml:space="preserve">Add tests in</w:t>
      </w:r>
      <w:r>
        <w:t xml:space="preserve"> </w:t>
      </w:r>
      <w:r>
        <w:rPr>
          <w:rStyle w:val="VerbatimChar"/>
        </w:rPr>
        <w:t xml:space="preserve">supabase/tests/rls_test.sql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owner_test.sql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Run locally: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PGHOST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 </w:t>
      </w:r>
      <w:r>
        <w:rPr>
          <w:rStyle w:val="VariableTok"/>
        </w:rPr>
        <w:t xml:space="preserve">PGUSER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ExtensionTok"/>
        </w:rPr>
        <w:t xml:space="preserve">./supabase/tests/run.sh</w:t>
      </w:r>
    </w:p>
    <w:p>
      <w:pPr>
        <w:numPr>
          <w:ilvl w:val="0"/>
          <w:numId w:val="1003"/>
        </w:numPr>
        <w:pStyle w:val="Compact"/>
      </w:pPr>
      <w:r>
        <w:t xml:space="preserve">Apply to staging (</w:t>
      </w:r>
      <w:r>
        <w:rPr>
          <w:rStyle w:val="VerbatimChar"/>
        </w:rPr>
        <w:t xml:space="preserve">supabase db push</w:t>
      </w:r>
      <w:r>
        <w:t xml:space="preserve"> </w:t>
      </w:r>
      <w:r>
        <w:t xml:space="preserve">against the staging project), run smoke tests, then production.</w:t>
      </w:r>
    </w:p>
    <w:p>
      <w:pPr>
        <w:numPr>
          <w:ilvl w:val="0"/>
          <w:numId w:val="1003"/>
        </w:numPr>
        <w:pStyle w:val="Compact"/>
      </w:pPr>
      <w:r>
        <w:t xml:space="preserve">Update the</w:t>
      </w:r>
      <w:r>
        <w:t xml:space="preserve"> </w:t>
      </w:r>
      <w:hyperlink r:id="rId24">
        <w:r>
          <w:rPr>
            <w:rStyle w:val="Hyperlink"/>
          </w:rPr>
          <w:t xml:space="preserve">LLD</w:t>
        </w:r>
      </w:hyperlink>
      <w:r>
        <w:t xml:space="preserve"> </w:t>
      </w:r>
      <w:r>
        <w:t xml:space="preserve">data model, access matrix, triggers and RPCs sections.</w:t>
      </w:r>
    </w:p>
    <w:bookmarkEnd w:id="25"/>
    <w:bookmarkStart w:id="26" w:name="sop-t3-regenerating-seed-data"/>
    <w:p>
      <w:pPr>
        <w:pStyle w:val="Heading1"/>
      </w:pPr>
      <w:r>
        <w:t xml:space="preserve">SOP-T3 Regenerating seed data</w:t>
      </w:r>
    </w:p>
    <w:p>
      <w:pPr>
        <w:numPr>
          <w:ilvl w:val="0"/>
          <w:numId w:val="1004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supabase/seed/library.py</w:t>
      </w:r>
      <w:r>
        <w:t xml:space="preserve"> </w:t>
      </w:r>
      <w:r>
        <w:t xml:space="preserve">(careers, streams) or</w:t>
      </w:r>
      <w:r>
        <w:t xml:space="preserve"> </w:t>
      </w:r>
      <w:r>
        <w:rPr>
          <w:rStyle w:val="VerbatimChar"/>
        </w:rPr>
        <w:t xml:space="preserve">supabase/seed/instruments.py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python3 supabase/seed/build_seed.py</w:t>
      </w:r>
      <w:r>
        <w:t xml:space="preserve">. It rewrites everything after</w:t>
      </w:r>
      <w:r>
        <w:t xml:space="preserve"> </w:t>
      </w:r>
      <w:r>
        <w:rPr>
          <w:rStyle w:val="VerbatimChar"/>
        </w:rPr>
        <w:t xml:space="preserve">-- BEGIN GENERATED SEED</w:t>
      </w:r>
      <w:r>
        <w:t xml:space="preserve"> </w:t>
      </w:r>
      <w:r>
        <w:t xml:space="preserve">in the migration.</w:t>
      </w:r>
    </w:p>
    <w:p>
      <w:pPr>
        <w:numPr>
          <w:ilvl w:val="0"/>
          <w:numId w:val="1004"/>
        </w:numPr>
        <w:pStyle w:val="Compact"/>
      </w:pPr>
      <w:r>
        <w:t xml:space="preserve">Run the SQL tests. Commit the generated SQL with the source change.</w:t>
      </w:r>
    </w:p>
    <w:bookmarkEnd w:id="26"/>
    <w:bookmarkStart w:id="27" w:name="sop-t4-worker-operations"/>
    <w:p>
      <w:pPr>
        <w:pStyle w:val="Heading1"/>
      </w:pPr>
      <w:r>
        <w:t xml:space="preserve">SOP-T4 Worker operations</w:t>
      </w:r>
    </w:p>
    <w:p>
      <w:pPr>
        <w:numPr>
          <w:ilvl w:val="0"/>
          <w:numId w:val="1005"/>
        </w:numPr>
        <w:pStyle w:val="Compact"/>
      </w:pPr>
      <w:r>
        <w:t xml:space="preserve">Railway service runs Python 3.12 with the service-role key.</w:t>
      </w:r>
    </w:p>
    <w:p>
      <w:pPr>
        <w:numPr>
          <w:ilvl w:val="0"/>
          <w:numId w:val="1005"/>
        </w:numPr>
        <w:pStyle w:val="Compact"/>
      </w:pPr>
      <w:r>
        <w:t xml:space="preserve">Check logs after deploy for scheduler start and a successful database connection.</w:t>
      </w:r>
    </w:p>
    <w:p>
      <w:pPr>
        <w:numPr>
          <w:ilvl w:val="0"/>
          <w:numId w:val="1005"/>
        </w:numPr>
        <w:pStyle w:val="Compact"/>
      </w:pPr>
      <w:r>
        <w:t xml:space="preserve">If scoring or reports stop: check Railway logs, then Supabase logs for</w:t>
      </w:r>
      <w:r>
        <w:t xml:space="preserve"> </w:t>
      </w:r>
      <w:r>
        <w:rPr>
          <w:rStyle w:val="VerbatimChar"/>
        </w:rPr>
        <w:t xml:space="preserve">score_instrument</w:t>
      </w:r>
      <w:r>
        <w:t xml:space="preserve">, then the Vault secrets used by</w:t>
      </w:r>
      <w:r>
        <w:t xml:space="preserve"> </w:t>
      </w:r>
      <w:r>
        <w:rPr>
          <w:rStyle w:val="VerbatimChar"/>
        </w:rPr>
        <w:t xml:space="preserve">invoke_edge_function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Re-run scoring for a session by re-triggering the worker job for that session (command to be documented when the worker lands).</w:t>
      </w:r>
    </w:p>
    <w:bookmarkEnd w:id="27"/>
    <w:bookmarkStart w:id="28" w:name="sop-t5-secret-rotation"/>
    <w:p>
      <w:pPr>
        <w:pStyle w:val="Heading1"/>
      </w:pPr>
      <w:r>
        <w:t xml:space="preserve">SOP-T5 Secret rotation</w:t>
      </w:r>
    </w:p>
    <w:p>
      <w:pPr>
        <w:numPr>
          <w:ilvl w:val="0"/>
          <w:numId w:val="1006"/>
        </w:numPr>
        <w:pStyle w:val="Compact"/>
      </w:pPr>
      <w:r>
        <w:t xml:space="preserve">Rotate the service-role key in Supabase.</w:t>
      </w:r>
    </w:p>
    <w:p>
      <w:pPr>
        <w:numPr>
          <w:ilvl w:val="0"/>
          <w:numId w:val="1006"/>
        </w:numPr>
        <w:pStyle w:val="Compact"/>
      </w:pPr>
      <w:r>
        <w:t xml:space="preserve">Update it in Railway (worker), Edge Function secrets and Vault</w:t>
      </w:r>
      <w:r>
        <w:t xml:space="preserve"> </w:t>
      </w:r>
      <w:r>
        <w:rPr>
          <w:rStyle w:val="VerbatimChar"/>
        </w:rPr>
        <w:t xml:space="preserve">service_role_key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Rotate the anon key only if exposed; update</w:t>
      </w:r>
      <w:r>
        <w:t xml:space="preserve"> </w:t>
      </w:r>
      <w:r>
        <w:rPr>
          <w:rStyle w:val="VerbatimChar"/>
        </w:rPr>
        <w:t xml:space="preserve">VITE_SUPABASE_ANON_KEY</w:t>
      </w:r>
      <w:r>
        <w:t xml:space="preserve"> </w:t>
      </w:r>
      <w:r>
        <w:t xml:space="preserve">in Vercel and redeploy.</w:t>
      </w:r>
    </w:p>
    <w:p>
      <w:pPr>
        <w:numPr>
          <w:ilvl w:val="0"/>
          <w:numId w:val="1006"/>
        </w:numPr>
        <w:pStyle w:val="Compact"/>
      </w:pPr>
      <w:r>
        <w:t xml:space="preserve">Verify scoring (complete a test assessment) and report download.</w:t>
      </w:r>
    </w:p>
    <w:p>
      <w:pPr>
        <w:pStyle w:val="FirstParagraph"/>
      </w:pPr>
      <w:r>
        <w:t xml:space="preserve">Never put the service-role key in a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variable or in the repo.</w:t>
      </w:r>
    </w:p>
    <w:bookmarkEnd w:id="28"/>
    <w:bookmarkStart w:id="29" w:name="sop-t6-backup-and-restore"/>
    <w:p>
      <w:pPr>
        <w:pStyle w:val="Heading1"/>
      </w:pPr>
      <w:r>
        <w:t xml:space="preserve">SOP-T6 Backup and restore</w:t>
      </w:r>
    </w:p>
    <w:p>
      <w:pPr>
        <w:numPr>
          <w:ilvl w:val="0"/>
          <w:numId w:val="1007"/>
        </w:numPr>
        <w:pStyle w:val="Compact"/>
      </w:pPr>
      <w:r>
        <w:t xml:space="preserve">Supabase daily backups (and point-in-time recovery if enabled on the plan).</w:t>
      </w:r>
    </w:p>
    <w:p>
      <w:pPr>
        <w:numPr>
          <w:ilvl w:val="0"/>
          <w:numId w:val="1007"/>
        </w:numPr>
        <w:pStyle w:val="Compact"/>
      </w:pPr>
      <w:r>
        <w:t xml:space="preserve">Storage buckets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: periodic export.</w:t>
      </w:r>
    </w:p>
    <w:p>
      <w:pPr>
        <w:numPr>
          <w:ilvl w:val="0"/>
          <w:numId w:val="1007"/>
        </w:numPr>
        <w:pStyle w:val="Compact"/>
      </w:pPr>
      <w:r>
        <w:t xml:space="preserve">Test a restore to a scratch project quarterly.</w:t>
      </w:r>
    </w:p>
    <w:bookmarkEnd w:id="29"/>
    <w:bookmarkStart w:id="34" w:name="sop-t7-incident-response"/>
    <w:p>
      <w:pPr>
        <w:pStyle w:val="Heading1"/>
      </w:pPr>
      <w:r>
        <w:t xml:space="preserve">SOP-T7 Incident response</w:t>
      </w:r>
    </w:p>
    <w:p>
      <w:pPr>
        <w:pStyle w:val="FirstParagraph"/>
      </w:pPr>
      <w:r>
        <w:drawing>
          <wp:inline>
            <wp:extent cx="5669280" cy="699982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7e22b4a6f0ef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99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085"/>
        <w:gridCol w:w="3489"/>
        <w:gridCol w:w="4780"/>
      </w:tblGrid>
      <w:tr>
        <w:trPr>
          <w:tblHeader w:val="true"/>
          <w:tblHeader/>
        </w:trPr>
        <w:tc>
          <w:tcPr>
            <w:tcW w:w="1085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Severity</w:t>
            </w:r>
          </w:p>
        </w:tc>
        <w:tc>
          <w:tcPr>
            <w:tcW w:w="3489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Example</w:t>
            </w:r>
          </w:p>
        </w:tc>
        <w:tc>
          <w:tcPr>
            <w:tcW w:w="478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Response</w:t>
            </w:r>
          </w:p>
        </w:tc>
      </w:tr>
      <w:tr>
        <w:tc>
          <w:tcPr>
            <w:tcW w:w="1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S1</w:t>
            </w:r>
          </w:p>
        </w:tc>
        <w:tc>
          <w:tcPr>
            <w:tcW w:w="3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Swadharma or private notes visible to a family; data leak</w:t>
            </w:r>
          </w:p>
        </w:tc>
        <w:tc>
          <w:tcPr>
            <w:tcW w:w="47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Immediately: disable affected route or policy, notify owner, follow</w:t>
            </w:r>
            <w:r>
              <w:rPr>
                <w:sz w:val="19"/>
              </w:rPr>
              <w:t xml:space="preserve"> </w:t>
            </w:r>
            <w:hyperlink r:id="rId33">
              <w:r>
                <w:rPr>
                  <w:rStyle w:val="Hyperlink"/>
                </w:rPr>
                <w:t xml:space="preserve">SOP-O14</w:t>
              </w:r>
            </w:hyperlink>
          </w:p>
        </w:tc>
      </w:tr>
      <w:tr>
        <w:tc>
          <w:tcPr>
            <w:tcW w:w="1085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S2</w:t>
            </w:r>
          </w:p>
        </w:tc>
        <w:tc>
          <w:tcPr>
            <w:tcW w:w="3489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Logins, test runner or scoring down</w:t>
            </w:r>
          </w:p>
        </w:tc>
        <w:tc>
          <w:tcPr>
            <w:tcW w:w="478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Within 1 hour: diagnose via Vercel, Supabase and Railway logs; roll back if a recent deploy caused it</w:t>
            </w:r>
          </w:p>
        </w:tc>
      </w:tr>
      <w:tr>
        <w:tc>
          <w:tcPr>
            <w:tcW w:w="1085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S3</w:t>
            </w:r>
          </w:p>
        </w:tc>
        <w:tc>
          <w:tcPr>
            <w:tcW w:w="3489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 dashboard number wrong, a report layout issue</w:t>
            </w:r>
          </w:p>
        </w:tc>
        <w:tc>
          <w:tcPr>
            <w:tcW w:w="478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Next working day</w:t>
            </w:r>
          </w:p>
        </w:tc>
      </w:tr>
    </w:tbl>
    <w:p>
      <w:pPr>
        <w:pStyle w:val="BodyText"/>
      </w:pPr>
      <w:r>
        <w:t xml:space="preserve">After any S1/S2: short post-incident note, a test that would have caught it, and doc updates.</w:t>
      </w:r>
    </w:p>
    <w:bookmarkEnd w:id="34"/>
    <w:bookmarkStart w:id="36" w:name="sop-t8-documentation-maintenance"/>
    <w:p>
      <w:pPr>
        <w:pStyle w:val="Heading1"/>
      </w:pPr>
      <w:r>
        <w:t xml:space="preserve">SOP-T8 Documentation maintenance</w:t>
      </w:r>
    </w:p>
    <w:p>
      <w:pPr>
        <w:pStyle w:val="FirstParagraph"/>
      </w:pPr>
      <w:r>
        <w:rPr>
          <w:bCs/>
          <w:b/>
        </w:rPr>
        <w:t xml:space="preserve">Rule:</w:t>
      </w:r>
      <w:r>
        <w:t xml:space="preserve"> </w:t>
      </w:r>
      <w:r>
        <w:t xml:space="preserve">every code or spec change updates the matching docs in the same branch and pull request.</w:t>
      </w:r>
    </w:p>
    <w:p>
      <w:pPr>
        <w:numPr>
          <w:ilvl w:val="0"/>
          <w:numId w:val="1008"/>
        </w:numPr>
        <w:pStyle w:val="Compact"/>
      </w:pPr>
      <w:r>
        <w:t xml:space="preserve">Check</w:t>
      </w:r>
      <w:r>
        <w:t xml:space="preserve"> </w:t>
      </w:r>
      <w:hyperlink r:id="rId35">
        <w:r>
          <w:rPr>
            <w:rStyle w:val="Hyperlink"/>
          </w:rPr>
          <w:t xml:space="preserve">the doc map</w:t>
        </w:r>
      </w:hyperlink>
      <w:r>
        <w:t xml:space="preserve"> </w:t>
      </w:r>
      <w:r>
        <w:t xml:space="preserve">to find which docs your change touches.</w:t>
      </w:r>
    </w:p>
    <w:p>
      <w:pPr>
        <w:numPr>
          <w:ilvl w:val="0"/>
          <w:numId w:val="1008"/>
        </w:numPr>
        <w:pStyle w:val="Compact"/>
      </w:pPr>
      <w:r>
        <w:t xml:space="preserve">Update them, and add a line to the doc's change history when behaviour changes.</w:t>
      </w:r>
    </w:p>
    <w:p>
      <w:pPr>
        <w:numPr>
          <w:ilvl w:val="0"/>
          <w:numId w:val="1008"/>
        </w:numPr>
        <w:pStyle w:val="Compact"/>
      </w:pPr>
      <w:r>
        <w:t xml:space="preserve">Tick the docs box in the PR template.</w:t>
      </w:r>
    </w:p>
    <w:p>
      <w:pPr>
        <w:numPr>
          <w:ilvl w:val="0"/>
          <w:numId w:val="1008"/>
        </w:numPr>
        <w:pStyle w:val="Compact"/>
      </w:pPr>
      <w:r>
        <w:t xml:space="preserve">CI runs</w:t>
      </w:r>
      <w:r>
        <w:t xml:space="preserve"> </w:t>
      </w:r>
      <w:r>
        <w:rPr>
          <w:rStyle w:val="VerbatimChar"/>
        </w:rPr>
        <w:t xml:space="preserve">scripts/check_docs.py</w:t>
      </w:r>
      <w:r>
        <w:t xml:space="preserve">. It fails when code changes have no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change, or when a mapped area (for example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) changes without its mapped doc.</w:t>
      </w:r>
    </w:p>
    <w:p>
      <w:pPr>
        <w:numPr>
          <w:ilvl w:val="0"/>
          <w:numId w:val="1008"/>
        </w:numPr>
        <w:pStyle w:val="Compact"/>
      </w:pPr>
      <w:r>
        <w:t xml:space="preserve">For a change with genuinely no doc impact (formatting, dependency bump), add the label</w:t>
      </w:r>
      <w:r>
        <w:t xml:space="preserve"> </w:t>
      </w:r>
      <w:r>
        <w:rPr>
          <w:rStyle w:val="VerbatimChar"/>
        </w:rPr>
        <w:t xml:space="preserve">docs-not-required</w:t>
      </w:r>
      <w:r>
        <w:t xml:space="preserve"> </w:t>
      </w:r>
      <w:r>
        <w:t xml:space="preserve">and say why in the PR description. Reviewers must agree.</w:t>
      </w:r>
    </w:p>
    <w:bookmarkEnd w:id="36"/>
    <w:bookmarkStart w:id="40" w:name="sop-t9-word-docx-versions-of-the-docs"/>
    <w:p>
      <w:pPr>
        <w:pStyle w:val="Heading1"/>
      </w:pPr>
      <w:r>
        <w:t xml:space="preserve">SOP-T9 Word (.docx) versions of the docs</w:t>
      </w:r>
    </w:p>
    <w:p>
      <w:pPr>
        <w:pStyle w:val="FirstParagraph"/>
      </w:pPr>
      <w:r>
        <w:t xml:space="preserve">The Markdown files in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are the master copy. Branded Word versions live in</w:t>
      </w:r>
      <w:r>
        <w:t xml:space="preserve"> </w:t>
      </w:r>
      <w:r>
        <w:rPr>
          <w:rStyle w:val="VerbatimChar"/>
        </w:rPr>
        <w:t xml:space="preserve">docs/word/</w:t>
      </w:r>
      <w:r>
        <w:t xml:space="preserve"> </w:t>
      </w:r>
      <w:r>
        <w:t xml:space="preserve">and are</w:t>
      </w:r>
      <w:r>
        <w:t xml:space="preserve"> </w:t>
      </w:r>
      <w:r>
        <w:rPr>
          <w:bCs/>
          <w:b/>
        </w:rPr>
        <w:t xml:space="preserve">generated, never edited by hand</w:t>
      </w:r>
      <w:r>
        <w:t xml:space="preserve">.</w:t>
      </w:r>
    </w:p>
    <w:p>
      <w:pPr>
        <w:pStyle w:val="BodyText"/>
      </w:pPr>
      <w:r>
        <w:drawing>
          <wp:inline>
            <wp:extent cx="5669280" cy="36592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fb77828aa0a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6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Edit the Markdown. Draw diagrams as</w:t>
      </w:r>
      <w:r>
        <w:t xml:space="preserve"> </w:t>
      </w:r>
      <w:r>
        <w:rPr>
          <w:rStyle w:val="VerbatimChar"/>
        </w:rPr>
        <w:t xml:space="preserve">```mermaid</w:t>
      </w:r>
      <w:r>
        <w:t xml:space="preserve"> </w:t>
      </w:r>
      <w:r>
        <w:t xml:space="preserve">blocks; they render on GitHub and become images in Word. Prefer</w:t>
      </w:r>
      <w:r>
        <w:t xml:space="preserve"> </w:t>
      </w:r>
      <w:r>
        <w:rPr>
          <w:rStyle w:val="VerbatimChar"/>
        </w:rPr>
        <w:t xml:space="preserve">flowchart LR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direction TB</w:t>
      </w:r>
      <w:r>
        <w:t xml:space="preserve"> </w:t>
      </w:r>
      <w:r>
        <w:t xml:space="preserve">subgraphs so diagrams stay readable on an A4 page, and avoid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inside labels.</w:t>
      </w:r>
    </w:p>
    <w:p>
      <w:pPr>
        <w:numPr>
          <w:ilvl w:val="0"/>
          <w:numId w:val="1009"/>
        </w:numPr>
        <w:pStyle w:val="Compact"/>
      </w:pPr>
      <w:r>
        <w:t xml:space="preserve">After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the</w:t>
      </w:r>
      <w:r>
        <w:t xml:space="preserve"> </w:t>
      </w:r>
      <w:r>
        <w:rPr>
          <w:bCs/>
          <w:b/>
        </w:rPr>
        <w:t xml:space="preserve">Build Word docs</w:t>
      </w:r>
      <w:r>
        <w:t xml:space="preserve"> </w:t>
      </w:r>
      <w:r>
        <w:t xml:space="preserve">workflow (</w:t>
      </w:r>
      <w:r>
        <w:rPr>
          <w:rStyle w:val="VerbatimChar"/>
        </w:rPr>
        <w:t xml:space="preserve">.github/workflows/docs-word.yml</w:t>
      </w:r>
      <w:r>
        <w:t xml:space="preserve">) runs</w:t>
      </w:r>
      <w:r>
        <w:t xml:space="preserve"> </w:t>
      </w:r>
      <w:r>
        <w:rPr>
          <w:rStyle w:val="VerbatimChar"/>
        </w:rPr>
        <w:t xml:space="preserve">scripts/docx/build_docx.py</w:t>
      </w:r>
      <w:r>
        <w:t xml:space="preserve"> </w:t>
      </w:r>
      <w:r>
        <w:t xml:space="preserve">and commits the updated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files. It can also be run by hand from the Actions tab (</w:t>
      </w:r>
      <w:r>
        <w:rPr>
          <w:iCs/>
          <w:i/>
        </w:rPr>
        <w:t xml:space="preserve">Run workflow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To build locally (needs pandoc, Node 22, python-docx):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scripts/docx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scripts/docx playwright install chromium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scripts/docx/build_docx.py                     </w:t>
      </w:r>
      <w:r>
        <w:rPr>
          <w:rStyle w:val="CommentTok"/>
        </w:rPr>
        <w:t xml:space="preserve"># all documents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scripts/docx/build_docx.py SwadharmaPath-BRD   </w:t>
      </w:r>
      <w:r>
        <w:rPr>
          <w:rStyle w:val="CommentTok"/>
        </w:rPr>
        <w:t xml:space="preserve"># one document</w:t>
      </w:r>
    </w:p>
    <w:p>
      <w:pPr>
        <w:numPr>
          <w:ilvl w:val="0"/>
          <w:numId w:val="1009"/>
        </w:numPr>
        <w:pStyle w:val="Compact"/>
      </w:pPr>
      <w:r>
        <w:t xml:space="preserve">To add a new document, add a row to</w:t>
      </w:r>
      <w:r>
        <w:t xml:space="preserve"> </w:t>
      </w:r>
      <w:r>
        <w:rPr>
          <w:rStyle w:val="VerbatimChar"/>
        </w:rPr>
        <w:t xml:space="preserve">DOCS_TO_BUILD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scripts/docx/build_docx.py</w:t>
      </w:r>
      <w:r>
        <w:t xml:space="preserve"> </w:t>
      </w:r>
      <w:r>
        <w:t xml:space="preserve">and to the table in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.</w:t>
      </w:r>
    </w:p>
    <w:p>
      <w:pPr>
        <w:pStyle w:val="FirstParagraph"/>
      </w:pPr>
      <w:r>
        <w:t xml:space="preserve">Each Word file has a cover page, a clickable contents list, page headers and numbers, teal header rows on tables and all diagrams as images.</w:t>
      </w:r>
    </w:p>
    <w:bookmarkEnd w:id="40"/>
    <w:sectPr>
      <w:headerReference w:type="default" r:id="rId9"/>
      <w:footerReference w:type="default" r:id="rId10"/>
      <w:pgSz w:h="16838" w:w="11906"/>
      <w:pgMar w:bottom="1134" w:footer="567" w:gutter="0" w:header="56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A26B"/>
      </w:pBdr>
      <w:jc w:val="right"/>
    </w:pPr>
    <w:r/>
    <w:r>
      <w:rPr>
        <w:color w:val="0F5E5E"/>
        <w:sz w:val="17"/>
      </w:rPr>
      <w:t>SwadharmaPath  ·  Technical SOPs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D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1F2D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5E5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C9A26B" w:space="4" w:sz="8" w:val="single"/>
      </w:pBdr>
      <w:spacing w:after="120" w:before="320"/>
      <w:outlineLvl w:val="0"/>
    </w:pPr>
    <w:rPr>
      <w:rFonts w:ascii="Calibri" w:cs="Calibri" w:eastAsia="Calibri" w:hAnsi="Calibri"/>
      <w:b/>
      <w:bCs/>
      <w:i w:val="0"/>
      <w:color w:val="0F5E5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i w:val="0"/>
      <w:color w:val="0F5E5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8A6A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1F2D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A26B" w:space="8" w:sz="24" w:val="single"/>
      </w:pBdr>
      <w:shd w:color="auto" w:fill="FBF7F1" w:val="clear"/>
      <w:spacing w:after="100" w:before="100"/>
      <w:ind w:firstLine="0" w:left="227" w:right="113"/>
    </w:pPr>
    <w:rPr>
      <w:rFonts w:ascii="Calibri" w:cs="Calibri" w:eastAsia="Calibri" w:hAnsi="Calibri"/>
      <w:i w:val="0"/>
      <w:color w:val="1F2D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B4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C7C7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0F5E5E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20" Type="http://schemas.openxmlformats.org/officeDocument/2006/relationships/image" Target="media/rId20.png"/><Relationship Id="rId37" Type="http://schemas.openxmlformats.org/officeDocument/2006/relationships/image" Target="media/rId37.png"/><Relationship Id="rId35" Type="http://schemas.openxmlformats.org/officeDocument/2006/relationships/hyperlink" Target="https://github.com/ys77-max/SwadharmaPath/blob/main/docs/README.md#which-doc-to-update" TargetMode="External"/><Relationship Id="rId24" Type="http://schemas.openxmlformats.org/officeDocument/2006/relationships/hyperlink" Target="https://github.com/ys77-max/SwadharmaPath/blob/main/docs/design/LLD.md" TargetMode="External"/><Relationship Id="rId33" Type="http://schemas.openxmlformats.org/officeDocument/2006/relationships/hyperlink" Target="https://github.com/ys77-max/SwadharmaPath/blob/main/docs/sops/operations-sops.md#sop-o14-privacy-requests-and-data-incidents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github.com/ys77-max/SwadharmaPath/blob/main/docs/README.md#which-doc-to-update" TargetMode="External"/><Relationship Id="rId24" Type="http://schemas.openxmlformats.org/officeDocument/2006/relationships/hyperlink" Target="https://github.com/ys77-max/SwadharmaPath/blob/main/docs/design/LLD.md" TargetMode="External"/><Relationship Id="rId33" Type="http://schemas.openxmlformats.org/officeDocument/2006/relationships/hyperlink" Target="https://github.com/ys77-max/SwadharmaPath/blob/main/docs/sops/operations-sops.md#sop-o14-privacy-requests-and-data-incid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SwadharmaPath — Technical SOPs</dc:title>
  <dc:creator>SwadharmaPath</dc:creator>
  <cp:keywords/>
  <dcterms:created xsi:type="dcterms:W3CDTF">2026-10-24T12:26:55Z</dcterms:created>
  <dcterms:modified xsi:type="dcterms:W3CDTF">2026-10-24T12:26:55Z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