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Overhead for Dynamic Reconfig: 24 cycles = 12 UART + 12 SPI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(0021) </w:t>
        <w:tab/>
        <w:t xml:space="preserve">DCB03FN = 0x0D;</w:t>
        <w:tab/>
        <w:t xml:space="preserve">//set as transmit UART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0627: 71 10</w:t>
        <w:tab/>
        <w:t xml:space="preserve">OR</w:t>
        <w:tab/>
        <w:t xml:space="preserve">F,0x10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0629: 62 2C 0D MOV   REG[0x2C],0xD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(0046) </w:t>
        <w:tab/>
        <w:t xml:space="preserve">DCB03FN = 0x06;</w:t>
        <w:tab/>
        <w:t xml:space="preserve">//set as master SPI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067C: 71 10</w:t>
        <w:tab/>
        <w:t xml:space="preserve">OR</w:t>
        <w:tab/>
        <w:t xml:space="preserve">F,0x10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067E: 62 2C 06 MOV   REG[0x2C],0x6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Overhead for Data Communication: 93 UART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0654: 62 D0 00 MOV   REG[0xD0],0x0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0657: 55 13 07 MOV   [__r0],0x7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065A: 5A 12</w:t>
        <w:tab/>
        <w:t xml:space="preserve">MOV   [__r1],X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065C: 06 12 03 ADD   [__r1],0x3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065F: 52 02</w:t>
        <w:tab/>
        <w:t xml:space="preserve">MOV   A,[X+2]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0661: 02 12</w:t>
        <w:tab/>
        <w:t xml:space="preserve">ADD   A,[__r1]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0663: 53 12</w:t>
        <w:tab/>
        <w:t xml:space="preserve">MOV   [__r1],A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0665: 52 01</w:t>
        <w:tab/>
        <w:t xml:space="preserve">MOV   A,[X+1]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0667: 0A 13</w:t>
        <w:tab/>
        <w:t xml:space="preserve">ADC   A,[__r0]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0669: 60 D4</w:t>
        <w:tab/>
        <w:t xml:space="preserve">MOV   REG[0xD4],A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066B: 3E 12</w:t>
        <w:tab/>
        <w:t xml:space="preserve">MVI   A,[__r1]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066D: 10   </w:t>
        <w:tab/>
        <w:t xml:space="preserve">PUSH 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066E: 7C 04 46 LCALL _UART_SendData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0671: 20   </w:t>
        <w:tab/>
        <w:t xml:space="preserve">POP  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Overhead for Data Communication: 73 UART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0699: 55 13 07 MOV   [__r0],0x7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069C: 5A 12</w:t>
        <w:tab/>
        <w:t xml:space="preserve">MOV   [__r1],X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069E: 06 12 03 ADD   [__r1],0x3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06A1: 52 02</w:t>
        <w:tab/>
        <w:t xml:space="preserve">MOV   A,[X+2]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06A3: 02 12</w:t>
        <w:tab/>
        <w:t xml:space="preserve">ADD   A,[__r1]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06A5: 53 12</w:t>
        <w:tab/>
        <w:t xml:space="preserve">MOV   [__r1],A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06A7: 52 01</w:t>
        <w:tab/>
        <w:t xml:space="preserve">MOV   A,[X+1]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06A9: 0A 13</w:t>
        <w:tab/>
        <w:t xml:space="preserve">ADC   A,[__r0]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06AB: 60 D4</w:t>
        <w:tab/>
        <w:t xml:space="preserve">MOV   REG[0xD4],A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06AD: 3E 12</w:t>
        <w:tab/>
        <w:t xml:space="preserve">MVI   A,[__r1]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06AF: 10   </w:t>
        <w:tab/>
        <w:t xml:space="preserve">PUSH 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06B0: 7C 06 12 LCALL _SPIM_SendTxData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06B3: 20   </w:t>
        <w:tab/>
        <w:t xml:space="preserve">POP  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UART starting : 98 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Without considering Start/Stop for UART and SPI the overhead of dynamic configuration compared to the data communication execution time is 12/(93+12) for UART and 12/(73+12) for SPI. Calculating just the starting task of UART is 98 cycles alone, assuming SPI is almost the same, that means approx 98+12+stopping_exec_time is just overhead for dynamic configuration which is much more than the execution time for data transfers.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