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my 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888"/>
        <w:gridCol w:w="2160"/>
        <w:gridCol w:w="1080"/>
        <w:gridCol w:w="1440"/>
        <w:gridCol w:w="1440"/>
        <w:gridCol w:w="108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Hospital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Total cases with known outcome</w:t>
            </w:r>
          </w:p>
        </w:tc>
        <w:tc>
          <w:tcPr>
            <w:gridSpan w:val="3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Recovered</w:t>
            </w:r>
          </w:p>
        </w:tc>
        <w:tc>
          <w:tcPr>
            <w:gridSpan w:val="3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Died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% of cases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CT values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% of cases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CT values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Port Hospital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1,364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42.4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57.6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Military Hospital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708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43.6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56.4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42.3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57.7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Central Hospital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358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46.1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53.9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St. Mark's Maternity Hospital (SMMH)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38.8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61.2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2021-03-07T21:27:00Z</dcterms:modified>
  <cp:category/>
</cp:coreProperties>
</file>