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my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888"/>
        <w:gridCol w:w="2160"/>
        <w:gridCol w:w="1080"/>
        <w:gridCol w:w="1440"/>
        <w:gridCol w:w="1440"/>
        <w:gridCol w:w="108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Hospital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Total cases with known outcome</w:t>
            </w:r>
          </w:p>
        </w:tc>
        <w:tc>
          <w:tcPr>
            <w:gridSpan w:val="3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Recovered</w:t>
            </w:r>
          </w:p>
        </w:tc>
        <w:tc>
          <w:tcPr>
            <w:gridSpan w:val="3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Died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% of cases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CT values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% of cases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CT values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Port Hospital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1,364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42.4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57.6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Military Hospital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708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43.6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56.4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42.3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57.7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Central Hospital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358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46.1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53.9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St. Mark's Maternity Hospital (SMMH)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61.2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2021-03-20T23:29:00Z</dcterms:modified>
  <cp:category/>
</cp:coreProperties>
</file>