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my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888"/>
        <w:gridCol w:w="2160"/>
        <w:gridCol w:w="1080"/>
        <w:gridCol w:w="1440"/>
        <w:gridCol w:w="1440"/>
        <w:gridCol w:w="108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Hospital</w:t>
            </w:r>
          </w:p>
        </w:tc>
        <w:tc>
          <w:tcPr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cases with known outcome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Recovered</w:t>
            </w:r>
          </w:p>
        </w:tc>
        <w:tc>
          <w:tcPr>
            <w:gridSpan w:val="3"/>
            <w:tcBorders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Died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% of cases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CT values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Port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1,364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Military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708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309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43.6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56.4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685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42.3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57.7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Central Hospital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358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165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46.1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53.9</w:t>
            </w:r>
          </w:p>
        </w:tc>
        <w:tc>
          <w:tcPr>
            <w:tcBorders/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St. Mark's Maternity Hospital (SMMH)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2F2F2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22.0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2021-03-26T13:03:15Z</dcterms:modified>
  <cp:category/>
</cp:coreProperties>
</file>