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sz w:val="24"/>
        </w:rPr>
        <w:t>CORPORACIÓN UNIVERSITARIA REMINGTON</w:t>
      </w:r>
    </w:p>
    <w:p>
      <w:pPr>
        <w:spacing w:line="480" w:lineRule="auto"/>
        <w:ind w:firstLine="0"/>
        <w:jc w:val="center"/>
      </w:pPr>
      <w:r>
        <w:rPr>
          <w:rFonts w:ascii="Times New Roman" w:hAnsi="Times New Roman"/>
          <w:b w:val="0"/>
          <w:sz w:val="24"/>
        </w:rPr>
        <w:t>INGENIERÍA DE SOFTWARE II</w:t>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sz w:val="24"/>
        </w:rPr>
        <w:t>PARCIAL II</w:t>
      </w:r>
    </w:p>
    <w:p>
      <w:pPr>
        <w:spacing w:line="480" w:lineRule="auto"/>
        <w:ind w:firstLine="0"/>
        <w:jc w:val="center"/>
      </w:pPr>
      <w:r>
        <w:rPr>
          <w:rFonts w:ascii="Times New Roman" w:hAnsi="Times New Roman"/>
          <w:b/>
          <w:sz w:val="24"/>
        </w:rPr>
        <w:t>GESTIÓN DE CONFIGURACIÓN DE SOFTWARE</w:t>
      </w:r>
    </w:p>
    <w:p>
      <w:pPr>
        <w:spacing w:line="480" w:lineRule="auto"/>
        <w:ind w:firstLine="0"/>
        <w:jc w:val="center"/>
      </w:pPr>
      <w:r>
        <w:rPr>
          <w:rFonts w:ascii="Times New Roman" w:hAnsi="Times New Roman"/>
          <w:b w:val="0"/>
          <w:sz w:val="24"/>
        </w:rPr>
        <w:t>Sistema de Gestión de Residuos Orgánicos Agroindustriales</w:t>
      </w:r>
    </w:p>
    <w:p>
      <w:pPr>
        <w:spacing w:line="480" w:lineRule="auto"/>
        <w:ind w:firstLine="0"/>
        <w:jc w:val="center"/>
      </w:pPr>
      <w:r>
        <w:rPr>
          <w:rFonts w:ascii="Times New Roman" w:hAnsi="Times New Roman"/>
          <w:b w:val="0"/>
          <w:sz w:val="24"/>
        </w:rPr>
        <w:t>Finca Catalina</w:t>
      </w:r>
    </w:p>
    <w:p>
      <w:pPr>
        <w:spacing w:line="480" w:lineRule="auto"/>
        <w:ind w:firstLine="0"/>
        <w:jc w:val="center"/>
      </w:pPr>
      <w:r>
        <w:rPr>
          <w:rFonts w:ascii="Times New Roman" w:hAnsi="Times New Roman"/>
          <w:b w:val="0"/>
          <w:sz w:val="24"/>
        </w:rPr>
      </w:r>
    </w:p>
    <w:p>
      <w:pPr>
        <w:spacing w:line="480" w:lineRule="auto"/>
        <w:ind w:firstLine="0"/>
        <w:jc w:val="center"/>
      </w:pPr>
      <w:r>
        <w:rPr>
          <w:rFonts w:ascii="Times New Roman" w:hAnsi="Times New Roman"/>
          <w:b w:val="0"/>
          <w:sz w:val="24"/>
        </w:rPr>
        <w:t>Yolaniz Salas Chala</w:t>
      </w:r>
    </w:p>
    <w:p>
      <w:pPr>
        <w:spacing w:line="480" w:lineRule="auto"/>
        <w:ind w:firstLine="0"/>
        <w:jc w:val="center"/>
      </w:pPr>
      <w:r>
        <w:rPr>
          <w:rFonts w:ascii="Times New Roman" w:hAnsi="Times New Roman"/>
          <w:b w:val="0"/>
          <w:sz w:val="24"/>
        </w:rPr>
        <w:t>Docente: Marta Lucía Jiménez Torres</w:t>
      </w:r>
    </w:p>
    <w:p>
      <w:pPr>
        <w:spacing w:line="480" w:lineRule="auto"/>
        <w:ind w:firstLine="0"/>
        <w:jc w:val="center"/>
      </w:pPr>
      <w:r>
        <w:rPr>
          <w:rFonts w:ascii="Times New Roman" w:hAnsi="Times New Roman"/>
          <w:b w:val="0"/>
          <w:sz w:val="24"/>
        </w:rPr>
        <w:t>28 de septiembre de 2026</w:t>
      </w:r>
    </w:p>
    <w:p>
      <w:r>
        <w:br w:type="page"/>
      </w:r>
    </w:p>
    <w:p>
      <w:pPr>
        <w:pStyle w:val="Heading1"/>
        <w:ind w:firstLine="0"/>
      </w:pPr>
      <w:r>
        <w:t>Introducción</w:t>
      </w:r>
    </w:p>
    <w:p>
      <w:pPr>
        <w:spacing w:line="480" w:lineRule="auto"/>
        <w:ind w:firstLine="720"/>
        <w:jc w:val="left"/>
      </w:pPr>
      <w:r>
        <w:rPr>
          <w:rFonts w:ascii="Times New Roman" w:hAnsi="Times New Roman"/>
          <w:b w:val="0"/>
          <w:sz w:val="24"/>
        </w:rPr>
        <w:t>El presente documento desarrolla la estrategia de Gestión de Configuración de Software (GCS) para el Sistema de Gestión de Residuos Orgánicos Agroindustriales de la Finca Catalina. El trabajo toma como base el proyecto desarrollado en el Parcial I, en el cual se definieron el prototipo de interfaz UI/UX, los requisitos funcionales y no funcionales, la arquitectura por capas, los patrones de diseño State y Observer y el producto backlog.</w:t>
      </w:r>
    </w:p>
    <w:p>
      <w:pPr>
        <w:spacing w:line="480" w:lineRule="auto"/>
        <w:ind w:firstLine="720"/>
        <w:jc w:val="left"/>
      </w:pPr>
      <w:r>
        <w:rPr>
          <w:rFonts w:ascii="Times New Roman" w:hAnsi="Times New Roman"/>
          <w:b w:val="0"/>
          <w:sz w:val="24"/>
        </w:rPr>
        <w:t>La estrategia propuesta permite identificar los elementos de configuración del sistema, controlar las solicitudes de cambio, administrar versiones y ramas, realizar auditorías de configuración y utilizar herramientas de control de versiones y configuración. De esta manera se busca conservar la trazabilidad, integridad y calidad del producto durante su evolución.</w:t>
      </w:r>
    </w:p>
    <w:p>
      <w:pPr>
        <w:spacing w:line="480" w:lineRule="auto"/>
        <w:ind w:firstLine="720"/>
        <w:jc w:val="left"/>
      </w:pPr>
      <w:r>
        <w:rPr>
          <w:rFonts w:ascii="Times New Roman" w:hAnsi="Times New Roman"/>
          <w:b w:val="0"/>
          <w:sz w:val="24"/>
        </w:rPr>
        <w:t>El documento se organiza de acuerdo con las actividades establecidas para el Parcial II: identificación de elementos de configuración, flujo de cambios mediante una Orden de Cambio de Ingeniería (OCI), versionamiento y branching, auditoría y reporte de estado, y herramientas de Gestión de Configuración de Software.</w:t>
      </w:r>
    </w:p>
    <w:p>
      <w:r>
        <w:br w:type="page"/>
      </w:r>
    </w:p>
    <w:p>
      <w:pPr>
        <w:pStyle w:val="Heading1"/>
        <w:ind w:firstLine="0"/>
      </w:pPr>
      <w:r>
        <w:t>A. Identificación y configuración de los ECS/EGC</w:t>
      </w:r>
    </w:p>
    <w:p>
      <w:pPr>
        <w:spacing w:line="480" w:lineRule="auto"/>
        <w:ind w:firstLine="720"/>
        <w:jc w:val="left"/>
      </w:pPr>
      <w:r>
        <w:rPr>
          <w:rFonts w:ascii="Times New Roman" w:hAnsi="Times New Roman"/>
          <w:b w:val="0"/>
          <w:sz w:val="24"/>
        </w:rPr>
        <w:t>Los Elementos de Configuración de Software (ECS) y Elementos de Gestión de Configuración (EGC) corresponden a los componentes que deben ser identificados y controlados para garantizar que los cambios realizados al sistema puedan ser rastreados.</w:t>
      </w:r>
    </w:p>
    <w:p>
      <w:pPr>
        <w:pStyle w:val="Heading2"/>
        <w:ind w:firstLine="0"/>
      </w:pPr>
      <w:r>
        <w:t>A.1. Programas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b/>
                <w:sz w:val="20"/>
              </w:rPr>
              <w:t>Elemento</w:t>
            </w:r>
          </w:p>
        </w:tc>
        <w:tc>
          <w:tcPr>
            <w:tcW w:type="dxa" w:w="3120"/>
            <w:vAlign w:val="center"/>
          </w:tcPr>
          <w:p>
            <w:r>
              <w:rPr>
                <w:rFonts w:ascii="Times New Roman" w:hAnsi="Times New Roman"/>
                <w:b/>
                <w:sz w:val="20"/>
              </w:rPr>
              <w:t>Descripción</w:t>
            </w:r>
          </w:p>
        </w:tc>
        <w:tc>
          <w:tcPr>
            <w:tcW w:type="dxa" w:w="3120"/>
            <w:vAlign w:val="center"/>
          </w:tcPr>
          <w:p>
            <w:r>
              <w:rPr>
                <w:rFonts w:ascii="Times New Roman" w:hAnsi="Times New Roman"/>
                <w:b/>
                <w:sz w:val="20"/>
              </w:rPr>
              <w:t>Control</w:t>
            </w:r>
          </w:p>
        </w:tc>
      </w:tr>
      <w:tr>
        <w:tc>
          <w:tcPr>
            <w:tcW w:type="dxa" w:w="3120"/>
          </w:tcPr>
          <w:p>
            <w:pPr>
              <w:spacing w:line="240" w:lineRule="auto"/>
            </w:pPr>
            <w:r>
              <w:rPr>
                <w:rFonts w:ascii="Times New Roman" w:hAnsi="Times New Roman"/>
                <w:sz w:val="20"/>
              </w:rPr>
              <w:t>Interfaz UI/UX</w:t>
            </w:r>
          </w:p>
        </w:tc>
        <w:tc>
          <w:tcPr>
            <w:tcW w:type="dxa" w:w="3120"/>
          </w:tcPr>
          <w:p>
            <w:pPr>
              <w:spacing w:line="240" w:lineRule="auto"/>
            </w:pPr>
            <w:r>
              <w:rPr>
                <w:rFonts w:ascii="Times New Roman" w:hAnsi="Times New Roman"/>
                <w:sz w:val="20"/>
              </w:rPr>
              <w:t>Pantallas del prototipo: login, rutas de recolección, pesajes de entrada, seguimiento de lotes, despachos y reportes.</w:t>
            </w:r>
          </w:p>
        </w:tc>
        <w:tc>
          <w:tcPr>
            <w:tcW w:type="dxa" w:w="3120"/>
          </w:tcPr>
          <w:p>
            <w:pPr>
              <w:spacing w:line="240" w:lineRule="auto"/>
            </w:pPr>
            <w:r>
              <w:rPr>
                <w:rFonts w:ascii="Times New Roman" w:hAnsi="Times New Roman"/>
                <w:sz w:val="20"/>
              </w:rPr>
              <w:t>Versionado en repositorio y registro de cambios.</w:t>
            </w:r>
          </w:p>
        </w:tc>
      </w:tr>
      <w:tr>
        <w:tc>
          <w:tcPr>
            <w:tcW w:type="dxa" w:w="3120"/>
          </w:tcPr>
          <w:p>
            <w:pPr>
              <w:spacing w:line="240" w:lineRule="auto"/>
            </w:pPr>
            <w:r>
              <w:rPr>
                <w:rFonts w:ascii="Times New Roman" w:hAnsi="Times New Roman"/>
                <w:sz w:val="20"/>
              </w:rPr>
              <w:t>Módulo de rutas</w:t>
            </w:r>
          </w:p>
        </w:tc>
        <w:tc>
          <w:tcPr>
            <w:tcW w:type="dxa" w:w="3120"/>
          </w:tcPr>
          <w:p>
            <w:pPr>
              <w:spacing w:line="240" w:lineRule="auto"/>
            </w:pPr>
            <w:r>
              <w:rPr>
                <w:rFonts w:ascii="Times New Roman" w:hAnsi="Times New Roman"/>
                <w:sz w:val="20"/>
              </w:rPr>
              <w:t>Permite programar y realizar seguimiento a las rutas de recolección.</w:t>
            </w:r>
          </w:p>
        </w:tc>
        <w:tc>
          <w:tcPr>
            <w:tcW w:type="dxa" w:w="3120"/>
          </w:tcPr>
          <w:p>
            <w:pPr>
              <w:spacing w:line="240" w:lineRule="auto"/>
            </w:pPr>
            <w:r>
              <w:rPr>
                <w:rFonts w:ascii="Times New Roman" w:hAnsi="Times New Roman"/>
                <w:sz w:val="20"/>
              </w:rPr>
              <w:t>Control por versión y revisión mediante Pull Request.</w:t>
            </w:r>
          </w:p>
        </w:tc>
      </w:tr>
      <w:tr>
        <w:tc>
          <w:tcPr>
            <w:tcW w:type="dxa" w:w="3120"/>
          </w:tcPr>
          <w:p>
            <w:pPr>
              <w:spacing w:line="240" w:lineRule="auto"/>
            </w:pPr>
            <w:r>
              <w:rPr>
                <w:rFonts w:ascii="Times New Roman" w:hAnsi="Times New Roman"/>
                <w:sz w:val="20"/>
              </w:rPr>
              <w:t>Módulo de pesajes</w:t>
            </w:r>
          </w:p>
        </w:tc>
        <w:tc>
          <w:tcPr>
            <w:tcW w:type="dxa" w:w="3120"/>
          </w:tcPr>
          <w:p>
            <w:pPr>
              <w:spacing w:line="240" w:lineRule="auto"/>
            </w:pPr>
            <w:r>
              <w:rPr>
                <w:rFonts w:ascii="Times New Roman" w:hAnsi="Times New Roman"/>
                <w:sz w:val="20"/>
              </w:rPr>
              <w:t>Registra origen, peso, volumen y tipo de biomasa.</w:t>
            </w:r>
          </w:p>
        </w:tc>
        <w:tc>
          <w:tcPr>
            <w:tcW w:type="dxa" w:w="3120"/>
          </w:tcPr>
          <w:p>
            <w:pPr>
              <w:spacing w:line="240" w:lineRule="auto"/>
            </w:pPr>
            <w:r>
              <w:rPr>
                <w:rFonts w:ascii="Times New Roman" w:hAnsi="Times New Roman"/>
                <w:sz w:val="20"/>
              </w:rPr>
              <w:t>Control de cambios y pruebas antes de integrar.</w:t>
            </w:r>
          </w:p>
        </w:tc>
      </w:tr>
      <w:tr>
        <w:tc>
          <w:tcPr>
            <w:tcW w:type="dxa" w:w="3120"/>
          </w:tcPr>
          <w:p>
            <w:pPr>
              <w:spacing w:line="240" w:lineRule="auto"/>
            </w:pPr>
            <w:r>
              <w:rPr>
                <w:rFonts w:ascii="Times New Roman" w:hAnsi="Times New Roman"/>
                <w:sz w:val="20"/>
              </w:rPr>
              <w:t>Módulo de lotes</w:t>
            </w:r>
          </w:p>
        </w:tc>
        <w:tc>
          <w:tcPr>
            <w:tcW w:type="dxa" w:w="3120"/>
          </w:tcPr>
          <w:p>
            <w:pPr>
              <w:spacing w:line="240" w:lineRule="auto"/>
            </w:pPr>
            <w:r>
              <w:rPr>
                <w:rFonts w:ascii="Times New Roman" w:hAnsi="Times New Roman"/>
                <w:sz w:val="20"/>
              </w:rPr>
              <w:t>Gestiona el ciclo de vida de los lotes y su trazabilidad.</w:t>
            </w:r>
          </w:p>
        </w:tc>
        <w:tc>
          <w:tcPr>
            <w:tcW w:type="dxa" w:w="3120"/>
          </w:tcPr>
          <w:p>
            <w:pPr>
              <w:spacing w:line="240" w:lineRule="auto"/>
            </w:pPr>
            <w:r>
              <w:rPr>
                <w:rFonts w:ascii="Times New Roman" w:hAnsi="Times New Roman"/>
                <w:sz w:val="20"/>
              </w:rPr>
              <w:t>Versionamiento y auditoría.</w:t>
            </w:r>
          </w:p>
        </w:tc>
      </w:tr>
      <w:tr>
        <w:tc>
          <w:tcPr>
            <w:tcW w:type="dxa" w:w="3120"/>
          </w:tcPr>
          <w:p>
            <w:pPr>
              <w:spacing w:line="240" w:lineRule="auto"/>
            </w:pPr>
            <w:r>
              <w:rPr>
                <w:rFonts w:ascii="Times New Roman" w:hAnsi="Times New Roman"/>
                <w:sz w:val="20"/>
              </w:rPr>
              <w:t>Módulo de despachos</w:t>
            </w:r>
          </w:p>
        </w:tc>
        <w:tc>
          <w:tcPr>
            <w:tcW w:type="dxa" w:w="3120"/>
          </w:tcPr>
          <w:p>
            <w:pPr>
              <w:spacing w:line="240" w:lineRule="auto"/>
            </w:pPr>
            <w:r>
              <w:rPr>
                <w:rFonts w:ascii="Times New Roman" w:hAnsi="Times New Roman"/>
                <w:sz w:val="20"/>
              </w:rPr>
              <w:t>Controla el despacho y comercialización del fertilizante producido.</w:t>
            </w:r>
          </w:p>
        </w:tc>
        <w:tc>
          <w:tcPr>
            <w:tcW w:type="dxa" w:w="3120"/>
          </w:tcPr>
          <w:p>
            <w:pPr>
              <w:spacing w:line="240" w:lineRule="auto"/>
            </w:pPr>
            <w:r>
              <w:rPr>
                <w:rFonts w:ascii="Times New Roman" w:hAnsi="Times New Roman"/>
                <w:sz w:val="20"/>
              </w:rPr>
              <w:t>Versionamiento y pruebas de aceptación.</w:t>
            </w:r>
          </w:p>
        </w:tc>
      </w:tr>
      <w:tr>
        <w:tc>
          <w:tcPr>
            <w:tcW w:type="dxa" w:w="3120"/>
          </w:tcPr>
          <w:p>
            <w:pPr>
              <w:spacing w:line="240" w:lineRule="auto"/>
            </w:pPr>
            <w:r>
              <w:rPr>
                <w:rFonts w:ascii="Times New Roman" w:hAnsi="Times New Roman"/>
                <w:sz w:val="20"/>
              </w:rPr>
              <w:t>Módulo de reportes</w:t>
            </w:r>
          </w:p>
        </w:tc>
        <w:tc>
          <w:tcPr>
            <w:tcW w:type="dxa" w:w="3120"/>
          </w:tcPr>
          <w:p>
            <w:pPr>
              <w:spacing w:line="240" w:lineRule="auto"/>
            </w:pPr>
            <w:r>
              <w:rPr>
                <w:rFonts w:ascii="Times New Roman" w:hAnsi="Times New Roman"/>
                <w:sz w:val="20"/>
              </w:rPr>
              <w:t>Genera información de impacto ambiental y economía circular.</w:t>
            </w:r>
          </w:p>
        </w:tc>
        <w:tc>
          <w:tcPr>
            <w:tcW w:type="dxa" w:w="3120"/>
          </w:tcPr>
          <w:p>
            <w:pPr>
              <w:spacing w:line="240" w:lineRule="auto"/>
            </w:pPr>
            <w:r>
              <w:rPr>
                <w:rFonts w:ascii="Times New Roman" w:hAnsi="Times New Roman"/>
                <w:sz w:val="20"/>
              </w:rPr>
              <w:t>Control de cambios y revisión.</w:t>
            </w:r>
          </w:p>
        </w:tc>
      </w:tr>
    </w:tbl>
    <w:p>
      <w:pPr>
        <w:pStyle w:val="Heading2"/>
        <w:ind w:firstLine="0"/>
      </w:pPr>
      <w:r>
        <w:t>A.2. Datos</w:t>
      </w:r>
    </w:p>
    <w:p>
      <w:pPr>
        <w:spacing w:line="480" w:lineRule="auto"/>
        <w:ind w:firstLine="720"/>
        <w:jc w:val="left"/>
      </w:pPr>
      <w:r>
        <w:rPr>
          <w:rFonts w:ascii="Times New Roman" w:hAnsi="Times New Roman"/>
          <w:b w:val="0"/>
          <w:sz w:val="24"/>
        </w:rPr>
        <w:t>Los datos principales corresponden a fincas generadoras, rutas, registros de recepción, pesajes, tipos de biomasa, lotes, estados del proceso, despachos y reportes. El registro de referencia de Finca Catalina contempla 2.450 kg de peso bruto, 620 kg de tara y 1.830 kg de peso neto, asociado al lote LOT-2026-001 y al proceso de compostaje.</w:t>
      </w:r>
    </w:p>
    <w:p>
      <w:pPr>
        <w:pStyle w:val="Heading2"/>
        <w:ind w:firstLine="0"/>
      </w:pPr>
      <w:r>
        <w:t>A.3. Documentación</w:t>
      </w:r>
    </w:p>
    <w:p>
      <w:pPr>
        <w:spacing w:line="480" w:lineRule="auto"/>
        <w:ind w:firstLine="720"/>
        <w:jc w:val="left"/>
      </w:pPr>
      <w:r>
        <w:rPr>
          <w:rFonts w:ascii="Times New Roman" w:hAnsi="Times New Roman"/>
          <w:b w:val="0"/>
          <w:sz w:val="24"/>
        </w:rPr>
        <w:t>La documentación de configuración comprende el documento del proyecto, especificaciones de requisitos, documentación de arquitectura, descripción de patrones State y Observer, documentación del prototipo UI/UX, catálogo de ECS/EGC, README del repositorio, registros de cambios y reportes de auditoría.</w:t>
      </w:r>
    </w:p>
    <w:p>
      <w:r>
        <w:br w:type="page"/>
      </w:r>
    </w:p>
    <w:p>
      <w:pPr>
        <w:pStyle w:val="Heading1"/>
        <w:ind w:firstLine="0"/>
      </w:pPr>
      <w:r>
        <w:t>B. Flujo de cambios</w:t>
      </w:r>
    </w:p>
    <w:p>
      <w:pPr>
        <w:pStyle w:val="Heading1"/>
        <w:ind w:firstLine="0"/>
      </w:pPr>
      <w:r>
        <w:t>B.1. Solicitud de cambio</w:t>
      </w:r>
    </w:p>
    <w:p>
      <w:pPr>
        <w:spacing w:line="480" w:lineRule="auto"/>
        <w:ind w:firstLine="720"/>
        <w:jc w:val="left"/>
      </w:pPr>
      <w:r>
        <w:rPr>
          <w:rFonts w:ascii="Times New Roman" w:hAnsi="Times New Roman"/>
          <w:b w:val="0"/>
          <w:sz w:val="24"/>
        </w:rPr>
        <w:t>Se propone como solicitud de cambio la ampliación del registro y consulta de la información de recepción asociada a los lotes, con el propósito de fortalecer la trazabilidad del proceso definido en el proyecto. El cambio se mantiene dentro del alcance del sistema, porque utiliza información que ya forma parte del flujo de recepción, seguimiento de lotes y consulta de trazabilidad.</w:t>
      </w:r>
    </w:p>
    <w:p>
      <w:pPr>
        <w:pStyle w:val="Heading1"/>
        <w:ind w:firstLine="0"/>
      </w:pPr>
      <w:r>
        <w:t>B.2. Justificación</w:t>
      </w:r>
    </w:p>
    <w:p>
      <w:pPr>
        <w:spacing w:line="480" w:lineRule="auto"/>
        <w:ind w:firstLine="720"/>
        <w:jc w:val="left"/>
      </w:pPr>
      <w:r>
        <w:rPr>
          <w:rFonts w:ascii="Times New Roman" w:hAnsi="Times New Roman"/>
          <w:b w:val="0"/>
          <w:sz w:val="24"/>
        </w:rPr>
        <w:t>La modificación permite que la información registrada durante la recepción quede organizada y relacionada de manera consistente con el lote correspondiente. Esto facilita el seguimiento del ciclo de vida del residuo y la consulta posterior de la información mediante el número de lote.</w:t>
      </w:r>
    </w:p>
    <w:p>
      <w:pPr>
        <w:pStyle w:val="Heading1"/>
        <w:ind w:firstLine="0"/>
      </w:pPr>
      <w:r>
        <w:t>B.3. Evaluación de impacto</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Aspecto</w:t>
            </w:r>
          </w:p>
        </w:tc>
        <w:tc>
          <w:tcPr>
            <w:tcW w:type="dxa" w:w="4680"/>
            <w:vAlign w:val="center"/>
          </w:tcPr>
          <w:p>
            <w:r>
              <w:rPr>
                <w:rFonts w:ascii="Times New Roman" w:hAnsi="Times New Roman"/>
                <w:b/>
                <w:sz w:val="20"/>
              </w:rPr>
              <w:t>Impacto identificado</w:t>
            </w:r>
          </w:p>
        </w:tc>
      </w:tr>
      <w:tr>
        <w:tc>
          <w:tcPr>
            <w:tcW w:type="dxa" w:w="4680"/>
          </w:tcPr>
          <w:p>
            <w:pPr>
              <w:spacing w:line="240" w:lineRule="auto"/>
            </w:pPr>
            <w:r>
              <w:rPr>
                <w:rFonts w:ascii="Times New Roman" w:hAnsi="Times New Roman"/>
                <w:sz w:val="20"/>
              </w:rPr>
              <w:t>Esfuerzo técnico</w:t>
            </w:r>
          </w:p>
        </w:tc>
        <w:tc>
          <w:tcPr>
            <w:tcW w:type="dxa" w:w="4680"/>
          </w:tcPr>
          <w:p>
            <w:pPr>
              <w:spacing w:line="240" w:lineRule="auto"/>
            </w:pPr>
            <w:r>
              <w:rPr>
                <w:rFonts w:ascii="Times New Roman" w:hAnsi="Times New Roman"/>
                <w:sz w:val="20"/>
              </w:rPr>
              <w:t>Medio. Requiere ajustar la lógica de registro/consulta y las interfaces relacionadas.</w:t>
            </w:r>
          </w:p>
        </w:tc>
      </w:tr>
      <w:tr>
        <w:tc>
          <w:tcPr>
            <w:tcW w:type="dxa" w:w="4680"/>
          </w:tcPr>
          <w:p>
            <w:pPr>
              <w:spacing w:line="240" w:lineRule="auto"/>
            </w:pPr>
            <w:r>
              <w:rPr>
                <w:rFonts w:ascii="Times New Roman" w:hAnsi="Times New Roman"/>
                <w:sz w:val="20"/>
              </w:rPr>
              <w:t>Arquitectura</w:t>
            </w:r>
          </w:p>
        </w:tc>
        <w:tc>
          <w:tcPr>
            <w:tcW w:type="dxa" w:w="4680"/>
          </w:tcPr>
          <w:p>
            <w:pPr>
              <w:spacing w:line="240" w:lineRule="auto"/>
            </w:pPr>
            <w:r>
              <w:rPr>
                <w:rFonts w:ascii="Times New Roman" w:hAnsi="Times New Roman"/>
                <w:sz w:val="20"/>
              </w:rPr>
              <w:t>Impacto controlado en las capas de presentación, aplicación, dominio y persistencia.</w:t>
            </w:r>
          </w:p>
        </w:tc>
      </w:tr>
      <w:tr>
        <w:tc>
          <w:tcPr>
            <w:tcW w:type="dxa" w:w="4680"/>
          </w:tcPr>
          <w:p>
            <w:pPr>
              <w:spacing w:line="240" w:lineRule="auto"/>
            </w:pPr>
            <w:r>
              <w:rPr>
                <w:rFonts w:ascii="Times New Roman" w:hAnsi="Times New Roman"/>
                <w:sz w:val="20"/>
              </w:rPr>
              <w:t>Componentes afectados</w:t>
            </w:r>
          </w:p>
        </w:tc>
        <w:tc>
          <w:tcPr>
            <w:tcW w:type="dxa" w:w="4680"/>
          </w:tcPr>
          <w:p>
            <w:pPr>
              <w:spacing w:line="240" w:lineRule="auto"/>
            </w:pPr>
            <w:r>
              <w:rPr>
                <w:rFonts w:ascii="Times New Roman" w:hAnsi="Times New Roman"/>
                <w:sz w:val="20"/>
              </w:rPr>
              <w:t>Pesajes de entrada, seguimiento de lotes y trazabilidad.</w:t>
            </w:r>
          </w:p>
        </w:tc>
      </w:tr>
      <w:tr>
        <w:tc>
          <w:tcPr>
            <w:tcW w:type="dxa" w:w="4680"/>
          </w:tcPr>
          <w:p>
            <w:pPr>
              <w:spacing w:line="240" w:lineRule="auto"/>
            </w:pPr>
            <w:r>
              <w:rPr>
                <w:rFonts w:ascii="Times New Roman" w:hAnsi="Times New Roman"/>
                <w:sz w:val="20"/>
              </w:rPr>
              <w:t>Patrones</w:t>
            </w:r>
          </w:p>
        </w:tc>
        <w:tc>
          <w:tcPr>
            <w:tcW w:type="dxa" w:w="4680"/>
          </w:tcPr>
          <w:p>
            <w:pPr>
              <w:spacing w:line="240" w:lineRule="auto"/>
            </w:pPr>
            <w:r>
              <w:rPr>
                <w:rFonts w:ascii="Times New Roman" w:hAnsi="Times New Roman"/>
                <w:sz w:val="20"/>
              </w:rPr>
              <w:t>State mantiene los estados del lote; Observer permite comunicar cambios a trazabilidad, indicadores y reportes.</w:t>
            </w:r>
          </w:p>
        </w:tc>
      </w:tr>
      <w:tr>
        <w:tc>
          <w:tcPr>
            <w:tcW w:type="dxa" w:w="4680"/>
          </w:tcPr>
          <w:p>
            <w:pPr>
              <w:spacing w:line="240" w:lineRule="auto"/>
            </w:pPr>
            <w:r>
              <w:rPr>
                <w:rFonts w:ascii="Times New Roman" w:hAnsi="Times New Roman"/>
                <w:sz w:val="20"/>
              </w:rPr>
              <w:t>Riesgos</w:t>
            </w:r>
          </w:p>
        </w:tc>
        <w:tc>
          <w:tcPr>
            <w:tcW w:type="dxa" w:w="4680"/>
          </w:tcPr>
          <w:p>
            <w:pPr>
              <w:spacing w:line="240" w:lineRule="auto"/>
            </w:pPr>
            <w:r>
              <w:rPr>
                <w:rFonts w:ascii="Times New Roman" w:hAnsi="Times New Roman"/>
                <w:sz w:val="20"/>
              </w:rPr>
              <w:t>Inconsistencias entre datos de recepción y lote, errores de consulta o regresiones en funcionalidades existentes.</w:t>
            </w:r>
          </w:p>
        </w:tc>
      </w:tr>
      <w:tr>
        <w:tc>
          <w:tcPr>
            <w:tcW w:type="dxa" w:w="4680"/>
          </w:tcPr>
          <w:p>
            <w:pPr>
              <w:spacing w:line="240" w:lineRule="auto"/>
            </w:pPr>
            <w:r>
              <w:rPr>
                <w:rFonts w:ascii="Times New Roman" w:hAnsi="Times New Roman"/>
                <w:sz w:val="20"/>
              </w:rPr>
              <w:t>Costo</w:t>
            </w:r>
          </w:p>
        </w:tc>
        <w:tc>
          <w:tcPr>
            <w:tcW w:type="dxa" w:w="4680"/>
          </w:tcPr>
          <w:p>
            <w:pPr>
              <w:spacing w:line="240" w:lineRule="auto"/>
            </w:pPr>
            <w:r>
              <w:rPr>
                <w:rFonts w:ascii="Times New Roman" w:hAnsi="Times New Roman"/>
                <w:sz w:val="20"/>
              </w:rPr>
              <w:t>Principalmente asociado al desarrollo, pruebas y revisión del cambio.</w:t>
            </w:r>
          </w:p>
        </w:tc>
      </w:tr>
    </w:tbl>
    <w:p>
      <w:pPr>
        <w:pStyle w:val="Heading2"/>
        <w:ind w:firstLine="0"/>
      </w:pPr>
      <w:r>
        <w:t>B.4. Orden de Cambio de Ingeniería (OCI)</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Campo</w:t>
            </w:r>
          </w:p>
        </w:tc>
        <w:tc>
          <w:tcPr>
            <w:tcW w:type="dxa" w:w="4680"/>
            <w:vAlign w:val="center"/>
          </w:tcPr>
          <w:p>
            <w:r>
              <w:rPr>
                <w:rFonts w:ascii="Times New Roman" w:hAnsi="Times New Roman"/>
                <w:b/>
                <w:sz w:val="20"/>
              </w:rPr>
              <w:t>Información</w:t>
            </w:r>
          </w:p>
        </w:tc>
      </w:tr>
      <w:tr>
        <w:tc>
          <w:tcPr>
            <w:tcW w:type="dxa" w:w="4680"/>
          </w:tcPr>
          <w:p>
            <w:pPr>
              <w:spacing w:line="240" w:lineRule="auto"/>
            </w:pPr>
            <w:r>
              <w:rPr>
                <w:rFonts w:ascii="Times New Roman" w:hAnsi="Times New Roman"/>
                <w:sz w:val="20"/>
              </w:rPr>
              <w:t>Código</w:t>
            </w:r>
          </w:p>
        </w:tc>
        <w:tc>
          <w:tcPr>
            <w:tcW w:type="dxa" w:w="4680"/>
          </w:tcPr>
          <w:p>
            <w:pPr>
              <w:spacing w:line="240" w:lineRule="auto"/>
            </w:pPr>
            <w:r>
              <w:rPr>
                <w:rFonts w:ascii="Times New Roman" w:hAnsi="Times New Roman"/>
                <w:sz w:val="20"/>
              </w:rPr>
              <w:t>OCI-001</w:t>
            </w:r>
          </w:p>
        </w:tc>
      </w:tr>
      <w:tr>
        <w:tc>
          <w:tcPr>
            <w:tcW w:type="dxa" w:w="4680"/>
          </w:tcPr>
          <w:p>
            <w:pPr>
              <w:spacing w:line="240" w:lineRule="auto"/>
            </w:pPr>
            <w:r>
              <w:rPr>
                <w:rFonts w:ascii="Times New Roman" w:hAnsi="Times New Roman"/>
                <w:sz w:val="20"/>
              </w:rPr>
              <w:t>Título</w:t>
            </w:r>
          </w:p>
        </w:tc>
        <w:tc>
          <w:tcPr>
            <w:tcW w:type="dxa" w:w="4680"/>
          </w:tcPr>
          <w:p>
            <w:pPr>
              <w:spacing w:line="240" w:lineRule="auto"/>
            </w:pPr>
            <w:r>
              <w:rPr>
                <w:rFonts w:ascii="Times New Roman" w:hAnsi="Times New Roman"/>
                <w:sz w:val="20"/>
              </w:rPr>
              <w:t>Ampliación del registro y trazabilidad de recepción</w:t>
            </w:r>
          </w:p>
        </w:tc>
      </w:tr>
      <w:tr>
        <w:tc>
          <w:tcPr>
            <w:tcW w:type="dxa" w:w="4680"/>
          </w:tcPr>
          <w:p>
            <w:pPr>
              <w:spacing w:line="240" w:lineRule="auto"/>
            </w:pPr>
            <w:r>
              <w:rPr>
                <w:rFonts w:ascii="Times New Roman" w:hAnsi="Times New Roman"/>
                <w:sz w:val="20"/>
              </w:rPr>
              <w:t>Solicitante</w:t>
            </w:r>
          </w:p>
        </w:tc>
        <w:tc>
          <w:tcPr>
            <w:tcW w:type="dxa" w:w="4680"/>
          </w:tcPr>
          <w:p>
            <w:pPr>
              <w:spacing w:line="240" w:lineRule="auto"/>
            </w:pPr>
            <w:r>
              <w:rPr>
                <w:rFonts w:ascii="Times New Roman" w:hAnsi="Times New Roman"/>
                <w:sz w:val="20"/>
              </w:rPr>
              <w:t>Equipo del proyecto</w:t>
            </w:r>
          </w:p>
        </w:tc>
      </w:tr>
      <w:tr>
        <w:tc>
          <w:tcPr>
            <w:tcW w:type="dxa" w:w="4680"/>
          </w:tcPr>
          <w:p>
            <w:pPr>
              <w:spacing w:line="240" w:lineRule="auto"/>
            </w:pPr>
            <w:r>
              <w:rPr>
                <w:rFonts w:ascii="Times New Roman" w:hAnsi="Times New Roman"/>
                <w:sz w:val="20"/>
              </w:rPr>
              <w:t>Motivo</w:t>
            </w:r>
          </w:p>
        </w:tc>
        <w:tc>
          <w:tcPr>
            <w:tcW w:type="dxa" w:w="4680"/>
          </w:tcPr>
          <w:p>
            <w:pPr>
              <w:spacing w:line="240" w:lineRule="auto"/>
            </w:pPr>
            <w:r>
              <w:rPr>
                <w:rFonts w:ascii="Times New Roman" w:hAnsi="Times New Roman"/>
                <w:sz w:val="20"/>
              </w:rPr>
              <w:t>Fortalecer la relación entre recepción, lote y consulta de trazabilidad.</w:t>
            </w:r>
          </w:p>
        </w:tc>
      </w:tr>
      <w:tr>
        <w:tc>
          <w:tcPr>
            <w:tcW w:type="dxa" w:w="4680"/>
          </w:tcPr>
          <w:p>
            <w:pPr>
              <w:spacing w:line="240" w:lineRule="auto"/>
            </w:pPr>
            <w:r>
              <w:rPr>
                <w:rFonts w:ascii="Times New Roman" w:hAnsi="Times New Roman"/>
                <w:sz w:val="20"/>
              </w:rPr>
              <w:t>Elementos afectados</w:t>
            </w:r>
          </w:p>
        </w:tc>
        <w:tc>
          <w:tcPr>
            <w:tcW w:type="dxa" w:w="4680"/>
          </w:tcPr>
          <w:p>
            <w:pPr>
              <w:spacing w:line="240" w:lineRule="auto"/>
            </w:pPr>
            <w:r>
              <w:rPr>
                <w:rFonts w:ascii="Times New Roman" w:hAnsi="Times New Roman"/>
                <w:sz w:val="20"/>
              </w:rPr>
              <w:t>Pesajes de entrada, seguimiento de lotes y trazabilidad.</w:t>
            </w:r>
          </w:p>
        </w:tc>
      </w:tr>
      <w:tr>
        <w:tc>
          <w:tcPr>
            <w:tcW w:type="dxa" w:w="4680"/>
          </w:tcPr>
          <w:p>
            <w:pPr>
              <w:spacing w:line="240" w:lineRule="auto"/>
            </w:pPr>
            <w:r>
              <w:rPr>
                <w:rFonts w:ascii="Times New Roman" w:hAnsi="Times New Roman"/>
                <w:sz w:val="20"/>
              </w:rPr>
              <w:t>Restricciones</w:t>
            </w:r>
          </w:p>
        </w:tc>
        <w:tc>
          <w:tcPr>
            <w:tcW w:type="dxa" w:w="4680"/>
          </w:tcPr>
          <w:p>
            <w:pPr>
              <w:spacing w:line="240" w:lineRule="auto"/>
            </w:pPr>
            <w:r>
              <w:rPr>
                <w:rFonts w:ascii="Times New Roman" w:hAnsi="Times New Roman"/>
                <w:sz w:val="20"/>
              </w:rPr>
              <w:t>No alterar el flujo general ni los requisitos definidos en el Parcial I.</w:t>
            </w:r>
          </w:p>
        </w:tc>
      </w:tr>
      <w:tr>
        <w:tc>
          <w:tcPr>
            <w:tcW w:type="dxa" w:w="4680"/>
          </w:tcPr>
          <w:p>
            <w:pPr>
              <w:spacing w:line="240" w:lineRule="auto"/>
            </w:pPr>
            <w:r>
              <w:rPr>
                <w:rFonts w:ascii="Times New Roman" w:hAnsi="Times New Roman"/>
                <w:sz w:val="20"/>
              </w:rPr>
              <w:t>Criterios de aceptación</w:t>
            </w:r>
          </w:p>
        </w:tc>
        <w:tc>
          <w:tcPr>
            <w:tcW w:type="dxa" w:w="4680"/>
          </w:tcPr>
          <w:p>
            <w:pPr>
              <w:spacing w:line="240" w:lineRule="auto"/>
            </w:pPr>
            <w:r>
              <w:rPr>
                <w:rFonts w:ascii="Times New Roman" w:hAnsi="Times New Roman"/>
                <w:sz w:val="20"/>
              </w:rPr>
              <w:t>La información de recepción queda asociada al lote; el lote puede consultarse por su identificador; los cambios no afectan las demás funciones.</w:t>
            </w:r>
          </w:p>
        </w:tc>
      </w:tr>
      <w:tr>
        <w:tc>
          <w:tcPr>
            <w:tcW w:type="dxa" w:w="4680"/>
          </w:tcPr>
          <w:p>
            <w:pPr>
              <w:spacing w:line="240" w:lineRule="auto"/>
            </w:pPr>
            <w:r>
              <w:rPr>
                <w:rFonts w:ascii="Times New Roman" w:hAnsi="Times New Roman"/>
                <w:sz w:val="20"/>
              </w:rPr>
              <w:t>Aprobación</w:t>
            </w:r>
          </w:p>
        </w:tc>
        <w:tc>
          <w:tcPr>
            <w:tcW w:type="dxa" w:w="4680"/>
          </w:tcPr>
          <w:p>
            <w:pPr>
              <w:spacing w:line="240" w:lineRule="auto"/>
            </w:pPr>
            <w:r>
              <w:rPr>
                <w:rFonts w:ascii="Times New Roman" w:hAnsi="Times New Roman"/>
                <w:sz w:val="20"/>
              </w:rPr>
              <w:t>Comité/autoridad de control de cambios (ACC).</w:t>
            </w:r>
          </w:p>
        </w:tc>
      </w:tr>
    </w:tbl>
    <w:p>
      <w:pPr>
        <w:pStyle w:val="Heading2"/>
        <w:ind w:firstLine="0"/>
      </w:pPr>
      <w:r>
        <w:t>B.5. Flujo de aprobación</w:t>
      </w:r>
    </w:p>
    <w:p>
      <w:pPr>
        <w:spacing w:line="480" w:lineRule="auto"/>
        <w:ind w:firstLine="720"/>
        <w:jc w:val="left"/>
      </w:pPr>
      <w:r>
        <w:rPr>
          <w:rFonts w:ascii="Times New Roman" w:hAnsi="Times New Roman"/>
          <w:b w:val="0"/>
          <w:sz w:val="24"/>
        </w:rPr>
        <w:t>La solicitud se registra como Issue/OCI, se analiza su impacto, se documentan los elementos afectados, se revisan los criterios de aceptación y se presenta para aprobación del ACC. Una vez aprobada, se desarrolla en una rama independiente, se realizan pruebas, se solicita Pull Request y, después de la revisión, se integra a la rama correspondiente.</w:t>
      </w:r>
    </w:p>
    <w:p>
      <w:r>
        <w:br w:type="page"/>
      </w:r>
    </w:p>
    <w:p>
      <w:pPr>
        <w:pStyle w:val="Heading1"/>
        <w:ind w:firstLine="0"/>
      </w:pPr>
      <w:r>
        <w:t>C. Versionamiento y branching</w:t>
      </w:r>
    </w:p>
    <w:p>
      <w:pPr>
        <w:pStyle w:val="Heading2"/>
        <w:ind w:firstLine="0"/>
      </w:pPr>
      <w:r>
        <w:t>C.1. Esquema de versionamiento</w:t>
      </w:r>
    </w:p>
    <w:p>
      <w:pPr>
        <w:spacing w:line="480" w:lineRule="auto"/>
        <w:ind w:firstLine="720"/>
        <w:jc w:val="left"/>
      </w:pPr>
      <w:r>
        <w:rPr>
          <w:rFonts w:ascii="Times New Roman" w:hAnsi="Times New Roman"/>
          <w:b w:val="0"/>
          <w:sz w:val="24"/>
        </w:rPr>
        <w:t>Se utilizará versionamiento semántico (Semantic Versioning) en el formato MAJOR.MINOR.PATCH. La versión inicial del proyecto se establece como 1.0.0. La modificación de la OCI-001 se registra como una actualización menor, por lo que la versión resultante será 1.1.0.</w:t>
      </w:r>
    </w:p>
    <w:p>
      <w:pPr>
        <w:pStyle w:val="Heading2"/>
        <w:ind w:firstLine="0"/>
      </w:pPr>
      <w:r>
        <w:t>C.2. Estrategia de ramas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Rama</w:t>
            </w:r>
          </w:p>
        </w:tc>
        <w:tc>
          <w:tcPr>
            <w:tcW w:type="dxa" w:w="4680"/>
            <w:vAlign w:val="center"/>
          </w:tcPr>
          <w:p>
            <w:r>
              <w:rPr>
                <w:rFonts w:ascii="Times New Roman" w:hAnsi="Times New Roman"/>
                <w:b/>
                <w:sz w:val="20"/>
              </w:rPr>
              <w:t>Propósito</w:t>
            </w:r>
          </w:p>
        </w:tc>
      </w:tr>
      <w:tr>
        <w:tc>
          <w:tcPr>
            <w:tcW w:type="dxa" w:w="4680"/>
          </w:tcPr>
          <w:p>
            <w:pPr>
              <w:spacing w:line="240" w:lineRule="auto"/>
            </w:pPr>
            <w:r>
              <w:rPr>
                <w:rFonts w:ascii="Times New Roman" w:hAnsi="Times New Roman"/>
                <w:sz w:val="20"/>
              </w:rPr>
              <w:t>main</w:t>
            </w:r>
          </w:p>
        </w:tc>
        <w:tc>
          <w:tcPr>
            <w:tcW w:type="dxa" w:w="4680"/>
          </w:tcPr>
          <w:p>
            <w:pPr>
              <w:spacing w:line="240" w:lineRule="auto"/>
            </w:pPr>
            <w:r>
              <w:rPr>
                <w:rFonts w:ascii="Times New Roman" w:hAnsi="Times New Roman"/>
                <w:sz w:val="20"/>
              </w:rPr>
              <w:t>Contiene versiones estables y listas para entrega.</w:t>
            </w:r>
          </w:p>
        </w:tc>
      </w:tr>
      <w:tr>
        <w:tc>
          <w:tcPr>
            <w:tcW w:type="dxa" w:w="4680"/>
          </w:tcPr>
          <w:p>
            <w:pPr>
              <w:spacing w:line="240" w:lineRule="auto"/>
            </w:pPr>
            <w:r>
              <w:rPr>
                <w:rFonts w:ascii="Times New Roman" w:hAnsi="Times New Roman"/>
                <w:sz w:val="20"/>
              </w:rPr>
              <w:t>develop</w:t>
            </w:r>
          </w:p>
        </w:tc>
        <w:tc>
          <w:tcPr>
            <w:tcW w:type="dxa" w:w="4680"/>
          </w:tcPr>
          <w:p>
            <w:pPr>
              <w:spacing w:line="240" w:lineRule="auto"/>
            </w:pPr>
            <w:r>
              <w:rPr>
                <w:rFonts w:ascii="Times New Roman" w:hAnsi="Times New Roman"/>
                <w:sz w:val="20"/>
              </w:rPr>
              <w:t>Integra el trabajo que será preparado para la siguiente versión.</w:t>
            </w:r>
          </w:p>
        </w:tc>
      </w:tr>
      <w:tr>
        <w:tc>
          <w:tcPr>
            <w:tcW w:type="dxa" w:w="4680"/>
          </w:tcPr>
          <w:p>
            <w:pPr>
              <w:spacing w:line="240" w:lineRule="auto"/>
            </w:pPr>
            <w:r>
              <w:rPr>
                <w:rFonts w:ascii="Times New Roman" w:hAnsi="Times New Roman"/>
                <w:sz w:val="20"/>
              </w:rPr>
              <w:t>feature/cambio-propuesto</w:t>
            </w:r>
          </w:p>
        </w:tc>
        <w:tc>
          <w:tcPr>
            <w:tcW w:type="dxa" w:w="4680"/>
          </w:tcPr>
          <w:p>
            <w:pPr>
              <w:spacing w:line="240" w:lineRule="auto"/>
            </w:pPr>
            <w:r>
              <w:rPr>
                <w:rFonts w:ascii="Times New Roman" w:hAnsi="Times New Roman"/>
                <w:sz w:val="20"/>
              </w:rPr>
              <w:t>Desarrolla específicamente la OCI-001 sin afectar directamente las ramas principales.</w:t>
            </w:r>
          </w:p>
        </w:tc>
      </w:tr>
      <w:tr>
        <w:tc>
          <w:tcPr>
            <w:tcW w:type="dxa" w:w="4680"/>
          </w:tcPr>
          <w:p>
            <w:pPr>
              <w:spacing w:line="240" w:lineRule="auto"/>
            </w:pPr>
            <w:r>
              <w:rPr>
                <w:rFonts w:ascii="Times New Roman" w:hAnsi="Times New Roman"/>
                <w:sz w:val="20"/>
              </w:rPr>
              <w:t>hotfix</w:t>
            </w:r>
          </w:p>
        </w:tc>
        <w:tc>
          <w:tcPr>
            <w:tcW w:type="dxa" w:w="4680"/>
          </w:tcPr>
          <w:p>
            <w:pPr>
              <w:spacing w:line="240" w:lineRule="auto"/>
            </w:pPr>
            <w:r>
              <w:rPr>
                <w:rFonts w:ascii="Times New Roman" w:hAnsi="Times New Roman"/>
                <w:sz w:val="20"/>
              </w:rPr>
              <w:t>Atiende correcciones urgentes sobre una versión estable.</w:t>
            </w:r>
          </w:p>
        </w:tc>
      </w:tr>
    </w:tbl>
    <w:p>
      <w:pPr>
        <w:pStyle w:val="Heading2"/>
        <w:ind w:firstLine="0"/>
      </w:pPr>
      <w:r>
        <w:t>C.3. Flujo de integración</w:t>
      </w:r>
    </w:p>
    <w:p>
      <w:pPr>
        <w:spacing w:line="480" w:lineRule="auto"/>
        <w:ind w:firstLine="720"/>
        <w:jc w:val="left"/>
      </w:pPr>
      <w:r>
        <w:rPr>
          <w:rFonts w:ascii="Times New Roman" w:hAnsi="Times New Roman"/>
          <w:b w:val="0"/>
          <w:sz w:val="24"/>
        </w:rPr>
        <w:t>El desarrollo de la OCI-001 se realiza en feature/cambio-propuesto. Después de completar el desarrollo y las pruebas, se crea un Pull Request hacia develop. La revisión verifica código, funcionalidad, criterios de aceptación y ausencia de conflictos. Una vez aprobada la integración, se prepara la versión 1.1.0 y se incorpora a main cuando corresponda.</w:t>
      </w:r>
    </w:p>
    <w:p>
      <w:pPr>
        <w:pStyle w:val="Heading2"/>
        <w:ind w:firstLine="0"/>
      </w:pPr>
      <w:r>
        <w:t>C.4. Control de copias y colaboradores</w:t>
      </w:r>
    </w:p>
    <w:p>
      <w:pPr>
        <w:spacing w:line="480" w:lineRule="auto"/>
        <w:ind w:firstLine="720"/>
        <w:jc w:val="left"/>
      </w:pPr>
      <w:r>
        <w:rPr>
          <w:rFonts w:ascii="Times New Roman" w:hAnsi="Times New Roman"/>
          <w:b w:val="0"/>
          <w:sz w:val="24"/>
        </w:rPr>
        <w:t>El repositorio remoto constituye la fuente controlada del proyecto. Cada colaborador debe trabajar con una copia local actualizada, utilizar ramas para sus cambios y registrar commits descriptivos. La protección de main evita modificaciones directas y favorece la revisión mediante Pull Requests.</w:t>
      </w:r>
    </w:p>
    <w:p>
      <w:r>
        <w:br w:type="page"/>
      </w:r>
    </w:p>
    <w:p>
      <w:pPr>
        <w:pStyle w:val="Heading1"/>
        <w:ind w:firstLine="0"/>
      </w:pPr>
      <w:r>
        <w:t>D. Auditoría de configuración y reporte de estado</w:t>
      </w:r>
    </w:p>
    <w:p>
      <w:pPr>
        <w:pStyle w:val="Heading2"/>
        <w:ind w:firstLine="0"/>
      </w:pPr>
      <w:r>
        <w:t>D.1. Lista de verificación previa a una entrega</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Verificación</w:t>
            </w:r>
          </w:p>
        </w:tc>
        <w:tc>
          <w:tcPr>
            <w:tcW w:type="dxa" w:w="4680"/>
            <w:vAlign w:val="center"/>
          </w:tcPr>
          <w:p>
            <w:r>
              <w:rPr>
                <w:rFonts w:ascii="Times New Roman" w:hAnsi="Times New Roman"/>
                <w:b/>
                <w:sz w:val="20"/>
              </w:rPr>
              <w:t>Estado esperado</w:t>
            </w:r>
          </w:p>
        </w:tc>
      </w:tr>
      <w:tr>
        <w:tc>
          <w:tcPr>
            <w:tcW w:type="dxa" w:w="4680"/>
          </w:tcPr>
          <w:p>
            <w:pPr>
              <w:spacing w:line="240" w:lineRule="auto"/>
            </w:pPr>
            <w:r>
              <w:rPr>
                <w:rFonts w:ascii="Times New Roman" w:hAnsi="Times New Roman"/>
                <w:sz w:val="20"/>
              </w:rPr>
              <w:t>Código versionado</w:t>
            </w:r>
          </w:p>
        </w:tc>
        <w:tc>
          <w:tcPr>
            <w:tcW w:type="dxa" w:w="4680"/>
          </w:tcPr>
          <w:p>
            <w:pPr>
              <w:spacing w:line="240" w:lineRule="auto"/>
            </w:pPr>
            <w:r>
              <w:rPr>
                <w:rFonts w:ascii="Times New Roman" w:hAnsi="Times New Roman"/>
                <w:sz w:val="20"/>
              </w:rPr>
              <w:t>Todos los cambios tienen commits identificables.</w:t>
            </w:r>
          </w:p>
        </w:tc>
      </w:tr>
      <w:tr>
        <w:tc>
          <w:tcPr>
            <w:tcW w:type="dxa" w:w="4680"/>
          </w:tcPr>
          <w:p>
            <w:pPr>
              <w:spacing w:line="240" w:lineRule="auto"/>
            </w:pPr>
            <w:r>
              <w:rPr>
                <w:rFonts w:ascii="Times New Roman" w:hAnsi="Times New Roman"/>
                <w:sz w:val="20"/>
              </w:rPr>
              <w:t>Rama correcta</w:t>
            </w:r>
          </w:p>
        </w:tc>
        <w:tc>
          <w:tcPr>
            <w:tcW w:type="dxa" w:w="4680"/>
          </w:tcPr>
          <w:p>
            <w:pPr>
              <w:spacing w:line="240" w:lineRule="auto"/>
            </w:pPr>
            <w:r>
              <w:rPr>
                <w:rFonts w:ascii="Times New Roman" w:hAnsi="Times New Roman"/>
                <w:sz w:val="20"/>
              </w:rPr>
              <w:t>El cambio fue desarrollado en la rama correspondiente.</w:t>
            </w:r>
          </w:p>
        </w:tc>
      </w:tr>
      <w:tr>
        <w:tc>
          <w:tcPr>
            <w:tcW w:type="dxa" w:w="4680"/>
          </w:tcPr>
          <w:p>
            <w:pPr>
              <w:spacing w:line="240" w:lineRule="auto"/>
            </w:pPr>
            <w:r>
              <w:rPr>
                <w:rFonts w:ascii="Times New Roman" w:hAnsi="Times New Roman"/>
                <w:sz w:val="20"/>
              </w:rPr>
              <w:t>Pull Request</w:t>
            </w:r>
          </w:p>
        </w:tc>
        <w:tc>
          <w:tcPr>
            <w:tcW w:type="dxa" w:w="4680"/>
          </w:tcPr>
          <w:p>
            <w:pPr>
              <w:spacing w:line="240" w:lineRule="auto"/>
            </w:pPr>
            <w:r>
              <w:rPr>
                <w:rFonts w:ascii="Times New Roman" w:hAnsi="Times New Roman"/>
                <w:sz w:val="20"/>
              </w:rPr>
              <w:t>Existe solicitud de integración y revisión.</w:t>
            </w:r>
          </w:p>
        </w:tc>
      </w:tr>
      <w:tr>
        <w:tc>
          <w:tcPr>
            <w:tcW w:type="dxa" w:w="4680"/>
          </w:tcPr>
          <w:p>
            <w:pPr>
              <w:spacing w:line="240" w:lineRule="auto"/>
            </w:pPr>
            <w:r>
              <w:rPr>
                <w:rFonts w:ascii="Times New Roman" w:hAnsi="Times New Roman"/>
                <w:sz w:val="20"/>
              </w:rPr>
              <w:t>Pruebas</w:t>
            </w:r>
          </w:p>
        </w:tc>
        <w:tc>
          <w:tcPr>
            <w:tcW w:type="dxa" w:w="4680"/>
          </w:tcPr>
          <w:p>
            <w:pPr>
              <w:spacing w:line="240" w:lineRule="auto"/>
            </w:pPr>
            <w:r>
              <w:rPr>
                <w:rFonts w:ascii="Times New Roman" w:hAnsi="Times New Roman"/>
                <w:sz w:val="20"/>
              </w:rPr>
              <w:t>Las funcionalidades afectadas fueron verificadas.</w:t>
            </w:r>
          </w:p>
        </w:tc>
      </w:tr>
      <w:tr>
        <w:tc>
          <w:tcPr>
            <w:tcW w:type="dxa" w:w="4680"/>
          </w:tcPr>
          <w:p>
            <w:pPr>
              <w:spacing w:line="240" w:lineRule="auto"/>
            </w:pPr>
            <w:r>
              <w:rPr>
                <w:rFonts w:ascii="Times New Roman" w:hAnsi="Times New Roman"/>
                <w:sz w:val="20"/>
              </w:rPr>
              <w:t>Requisitos</w:t>
            </w:r>
          </w:p>
        </w:tc>
        <w:tc>
          <w:tcPr>
            <w:tcW w:type="dxa" w:w="4680"/>
          </w:tcPr>
          <w:p>
            <w:pPr>
              <w:spacing w:line="240" w:lineRule="auto"/>
            </w:pPr>
            <w:r>
              <w:rPr>
                <w:rFonts w:ascii="Times New Roman" w:hAnsi="Times New Roman"/>
                <w:sz w:val="20"/>
              </w:rPr>
              <w:t>Se validaron los criterios de aceptación de la OCI.</w:t>
            </w:r>
          </w:p>
        </w:tc>
      </w:tr>
      <w:tr>
        <w:tc>
          <w:tcPr>
            <w:tcW w:type="dxa" w:w="4680"/>
          </w:tcPr>
          <w:p>
            <w:pPr>
              <w:spacing w:line="240" w:lineRule="auto"/>
            </w:pPr>
            <w:r>
              <w:rPr>
                <w:rFonts w:ascii="Times New Roman" w:hAnsi="Times New Roman"/>
                <w:sz w:val="20"/>
              </w:rPr>
              <w:t>Documentación</w:t>
            </w:r>
          </w:p>
        </w:tc>
        <w:tc>
          <w:tcPr>
            <w:tcW w:type="dxa" w:w="4680"/>
          </w:tcPr>
          <w:p>
            <w:pPr>
              <w:spacing w:line="240" w:lineRule="auto"/>
            </w:pPr>
            <w:r>
              <w:rPr>
                <w:rFonts w:ascii="Times New Roman" w:hAnsi="Times New Roman"/>
                <w:sz w:val="20"/>
              </w:rPr>
              <w:t>README y documentos relacionados están actualizados.</w:t>
            </w:r>
          </w:p>
        </w:tc>
      </w:tr>
      <w:tr>
        <w:tc>
          <w:tcPr>
            <w:tcW w:type="dxa" w:w="4680"/>
          </w:tcPr>
          <w:p>
            <w:pPr>
              <w:spacing w:line="240" w:lineRule="auto"/>
            </w:pPr>
            <w:r>
              <w:rPr>
                <w:rFonts w:ascii="Times New Roman" w:hAnsi="Times New Roman"/>
                <w:sz w:val="20"/>
              </w:rPr>
              <w:t>Integridad</w:t>
            </w:r>
          </w:p>
        </w:tc>
        <w:tc>
          <w:tcPr>
            <w:tcW w:type="dxa" w:w="4680"/>
          </w:tcPr>
          <w:p>
            <w:pPr>
              <w:spacing w:line="240" w:lineRule="auto"/>
            </w:pPr>
            <w:r>
              <w:rPr>
                <w:rFonts w:ascii="Times New Roman" w:hAnsi="Times New Roman"/>
                <w:sz w:val="20"/>
              </w:rPr>
              <w:t>No existen cambios no registrados en los elementos controlados.</w:t>
            </w:r>
          </w:p>
        </w:tc>
      </w:tr>
      <w:tr>
        <w:tc>
          <w:tcPr>
            <w:tcW w:type="dxa" w:w="4680"/>
          </w:tcPr>
          <w:p>
            <w:pPr>
              <w:spacing w:line="240" w:lineRule="auto"/>
            </w:pPr>
            <w:r>
              <w:rPr>
                <w:rFonts w:ascii="Times New Roman" w:hAnsi="Times New Roman"/>
                <w:sz w:val="20"/>
              </w:rPr>
              <w:t>Versión</w:t>
            </w:r>
          </w:p>
        </w:tc>
        <w:tc>
          <w:tcPr>
            <w:tcW w:type="dxa" w:w="4680"/>
          </w:tcPr>
          <w:p>
            <w:pPr>
              <w:spacing w:line="240" w:lineRule="auto"/>
            </w:pPr>
            <w:r>
              <w:rPr>
                <w:rFonts w:ascii="Times New Roman" w:hAnsi="Times New Roman"/>
                <w:sz w:val="20"/>
              </w:rPr>
              <w:t>El número de versión corresponde al cambio realizado.</w:t>
            </w:r>
          </w:p>
        </w:tc>
      </w:tr>
    </w:tbl>
    <w:p>
      <w:pPr>
        <w:pStyle w:val="Heading2"/>
        <w:ind w:firstLine="0"/>
      </w:pPr>
      <w:r>
        <w:t>D.2. Reporte de estado de configuración</w:t>
      </w:r>
    </w:p>
    <w:p>
      <w:pPr>
        <w:spacing w:line="480" w:lineRule="auto"/>
        <w:ind w:firstLine="720"/>
        <w:jc w:val="left"/>
      </w:pPr>
      <w:r>
        <w:rPr>
          <w:rFonts w:ascii="Times New Roman" w:hAnsi="Times New Roman"/>
          <w:b w:val="0"/>
          <w:sz w:val="24"/>
        </w:rPr>
        <w:t>El reporte de estado debe permitir responder cuatro preguntas fundamentales: ¿Qué pasó?, ¿Quién lo hizo?, ¿Cuándo pasó? y ¿Qué más se vio afectado?</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Pregunta</w:t>
            </w:r>
          </w:p>
        </w:tc>
        <w:tc>
          <w:tcPr>
            <w:tcW w:type="dxa" w:w="4680"/>
            <w:vAlign w:val="center"/>
          </w:tcPr>
          <w:p>
            <w:r>
              <w:rPr>
                <w:rFonts w:ascii="Times New Roman" w:hAnsi="Times New Roman"/>
                <w:b/>
                <w:sz w:val="20"/>
              </w:rPr>
              <w:t>Registro para OCI-001</w:t>
            </w:r>
          </w:p>
        </w:tc>
      </w:tr>
      <w:tr>
        <w:tc>
          <w:tcPr>
            <w:tcW w:type="dxa" w:w="4680"/>
          </w:tcPr>
          <w:p>
            <w:pPr>
              <w:spacing w:line="240" w:lineRule="auto"/>
            </w:pPr>
            <w:r>
              <w:rPr>
                <w:rFonts w:ascii="Times New Roman" w:hAnsi="Times New Roman"/>
                <w:sz w:val="20"/>
              </w:rPr>
              <w:t>¿Qué pasó?</w:t>
            </w:r>
          </w:p>
        </w:tc>
        <w:tc>
          <w:tcPr>
            <w:tcW w:type="dxa" w:w="4680"/>
          </w:tcPr>
          <w:p>
            <w:pPr>
              <w:spacing w:line="240" w:lineRule="auto"/>
            </w:pPr>
            <w:r>
              <w:rPr>
                <w:rFonts w:ascii="Times New Roman" w:hAnsi="Times New Roman"/>
                <w:sz w:val="20"/>
              </w:rPr>
              <w:t>Se propuso y desarrolló la ampliación del registro y trazabilidad de recepción.</w:t>
            </w:r>
          </w:p>
        </w:tc>
      </w:tr>
      <w:tr>
        <w:tc>
          <w:tcPr>
            <w:tcW w:type="dxa" w:w="4680"/>
          </w:tcPr>
          <w:p>
            <w:pPr>
              <w:spacing w:line="240" w:lineRule="auto"/>
            </w:pPr>
            <w:r>
              <w:rPr>
                <w:rFonts w:ascii="Times New Roman" w:hAnsi="Times New Roman"/>
                <w:sz w:val="20"/>
              </w:rPr>
              <w:t>¿Quién lo hizo?</w:t>
            </w:r>
          </w:p>
        </w:tc>
        <w:tc>
          <w:tcPr>
            <w:tcW w:type="dxa" w:w="4680"/>
          </w:tcPr>
          <w:p>
            <w:pPr>
              <w:spacing w:line="240" w:lineRule="auto"/>
            </w:pPr>
            <w:r>
              <w:rPr>
                <w:rFonts w:ascii="Times New Roman" w:hAnsi="Times New Roman"/>
                <w:sz w:val="20"/>
              </w:rPr>
              <w:t>Responsable de configuración/desarrollo asignado al proyecto.</w:t>
            </w:r>
          </w:p>
        </w:tc>
      </w:tr>
      <w:tr>
        <w:tc>
          <w:tcPr>
            <w:tcW w:type="dxa" w:w="4680"/>
          </w:tcPr>
          <w:p>
            <w:pPr>
              <w:spacing w:line="240" w:lineRule="auto"/>
            </w:pPr>
            <w:r>
              <w:rPr>
                <w:rFonts w:ascii="Times New Roman" w:hAnsi="Times New Roman"/>
                <w:sz w:val="20"/>
              </w:rPr>
              <w:t>¿Cuándo pasó?</w:t>
            </w:r>
          </w:p>
        </w:tc>
        <w:tc>
          <w:tcPr>
            <w:tcW w:type="dxa" w:w="4680"/>
          </w:tcPr>
          <w:p>
            <w:pPr>
              <w:spacing w:line="240" w:lineRule="auto"/>
            </w:pPr>
            <w:r>
              <w:rPr>
                <w:rFonts w:ascii="Times New Roman" w:hAnsi="Times New Roman"/>
                <w:sz w:val="20"/>
              </w:rPr>
              <w:t>Durante el ciclo de desarrollo correspondiente a la versión 1.1.0.</w:t>
            </w:r>
          </w:p>
        </w:tc>
      </w:tr>
      <w:tr>
        <w:tc>
          <w:tcPr>
            <w:tcW w:type="dxa" w:w="4680"/>
          </w:tcPr>
          <w:p>
            <w:pPr>
              <w:spacing w:line="240" w:lineRule="auto"/>
            </w:pPr>
            <w:r>
              <w:rPr>
                <w:rFonts w:ascii="Times New Roman" w:hAnsi="Times New Roman"/>
                <w:sz w:val="20"/>
              </w:rPr>
              <w:t>¿Qué más se vio afectado?</w:t>
            </w:r>
          </w:p>
        </w:tc>
        <w:tc>
          <w:tcPr>
            <w:tcW w:type="dxa" w:w="4680"/>
          </w:tcPr>
          <w:p>
            <w:pPr>
              <w:spacing w:line="240" w:lineRule="auto"/>
            </w:pPr>
            <w:r>
              <w:rPr>
                <w:rFonts w:ascii="Times New Roman" w:hAnsi="Times New Roman"/>
                <w:sz w:val="20"/>
              </w:rPr>
              <w:t>Pesajes de entrada, seguimiento de lotes, trazabilidad y documentación relacionada.</w:t>
            </w:r>
          </w:p>
        </w:tc>
      </w:tr>
    </w:tbl>
    <w:p>
      <w:r>
        <w:br w:type="page"/>
      </w:r>
    </w:p>
    <w:p>
      <w:pPr>
        <w:pStyle w:val="Heading1"/>
        <w:ind w:firstLine="0"/>
      </w:pPr>
      <w:r>
        <w:t>E. Herramientas de Gestión de Configuración de Software</w:t>
      </w:r>
    </w:p>
    <w:p>
      <w:pPr>
        <w:pStyle w:val="Heading2"/>
        <w:ind w:firstLine="0"/>
      </w:pPr>
      <w:r>
        <w:t>E.1. Repositorio y control de versiones</w:t>
      </w:r>
    </w:p>
    <w:p>
      <w:pPr>
        <w:spacing w:line="480" w:lineRule="auto"/>
        <w:ind w:firstLine="720"/>
        <w:jc w:val="left"/>
      </w:pPr>
      <w:r>
        <w:rPr>
          <w:rFonts w:ascii="Times New Roman" w:hAnsi="Times New Roman"/>
          <w:b w:val="0"/>
          <w:sz w:val="24"/>
        </w:rPr>
        <w:t>Git constituye el sistema de control de versiones y GitHub el repositorio remoto. Estas herramientas permiten administrar ramas, commits, Pull Requests, historial de cambios y colaboración.</w:t>
      </w:r>
    </w:p>
    <w:p>
      <w:pPr>
        <w:pStyle w:val="Heading2"/>
        <w:ind w:firstLine="0"/>
      </w:pPr>
      <w:r>
        <w:t>E.2. Herramientas de configuración</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Herramienta</w:t>
            </w:r>
          </w:p>
        </w:tc>
        <w:tc>
          <w:tcPr>
            <w:tcW w:type="dxa" w:w="4680"/>
            <w:vAlign w:val="center"/>
          </w:tcPr>
          <w:p>
            <w:r>
              <w:rPr>
                <w:rFonts w:ascii="Times New Roman" w:hAnsi="Times New Roman"/>
                <w:b/>
                <w:sz w:val="20"/>
              </w:rPr>
              <w:t>Uso propuesto</w:t>
            </w:r>
          </w:p>
        </w:tc>
      </w:tr>
      <w:tr>
        <w:tc>
          <w:tcPr>
            <w:tcW w:type="dxa" w:w="4680"/>
          </w:tcPr>
          <w:p>
            <w:pPr>
              <w:spacing w:line="240" w:lineRule="auto"/>
            </w:pPr>
            <w:r>
              <w:rPr>
                <w:rFonts w:ascii="Times New Roman" w:hAnsi="Times New Roman"/>
                <w:sz w:val="20"/>
              </w:rPr>
              <w:t>Git / GitHub</w:t>
            </w:r>
          </w:p>
        </w:tc>
        <w:tc>
          <w:tcPr>
            <w:tcW w:type="dxa" w:w="4680"/>
          </w:tcPr>
          <w:p>
            <w:pPr>
              <w:spacing w:line="240" w:lineRule="auto"/>
            </w:pPr>
            <w:r>
              <w:rPr>
                <w:rFonts w:ascii="Times New Roman" w:hAnsi="Times New Roman"/>
                <w:sz w:val="20"/>
              </w:rPr>
              <w:t>Control de versiones, ramas, commits, Pull Requests y trazabilidad.</w:t>
            </w:r>
          </w:p>
        </w:tc>
      </w:tr>
      <w:tr>
        <w:tc>
          <w:tcPr>
            <w:tcW w:type="dxa" w:w="4680"/>
          </w:tcPr>
          <w:p>
            <w:pPr>
              <w:spacing w:line="240" w:lineRule="auto"/>
            </w:pPr>
            <w:r>
              <w:rPr>
                <w:rFonts w:ascii="Times New Roman" w:hAnsi="Times New Roman"/>
                <w:sz w:val="20"/>
              </w:rPr>
              <w:t>Terraform</w:t>
            </w:r>
          </w:p>
        </w:tc>
        <w:tc>
          <w:tcPr>
            <w:tcW w:type="dxa" w:w="4680"/>
          </w:tcPr>
          <w:p>
            <w:pPr>
              <w:spacing w:line="240" w:lineRule="auto"/>
            </w:pPr>
            <w:r>
              <w:rPr>
                <w:rFonts w:ascii="Times New Roman" w:hAnsi="Times New Roman"/>
                <w:sz w:val="20"/>
              </w:rPr>
              <w:t>Definición de infraestructura como código cuando el sistema sea desplegado en servicios de nube.</w:t>
            </w:r>
          </w:p>
        </w:tc>
      </w:tr>
      <w:tr>
        <w:tc>
          <w:tcPr>
            <w:tcW w:type="dxa" w:w="4680"/>
          </w:tcPr>
          <w:p>
            <w:pPr>
              <w:spacing w:line="240" w:lineRule="auto"/>
            </w:pPr>
            <w:r>
              <w:rPr>
                <w:rFonts w:ascii="Times New Roman" w:hAnsi="Times New Roman"/>
                <w:sz w:val="20"/>
              </w:rPr>
              <w:t>AWS Config</w:t>
            </w:r>
          </w:p>
        </w:tc>
        <w:tc>
          <w:tcPr>
            <w:tcW w:type="dxa" w:w="4680"/>
          </w:tcPr>
          <w:p>
            <w:pPr>
              <w:spacing w:line="240" w:lineRule="auto"/>
            </w:pPr>
            <w:r>
              <w:rPr>
                <w:rFonts w:ascii="Times New Roman" w:hAnsi="Times New Roman"/>
                <w:sz w:val="20"/>
              </w:rPr>
              <w:t>Supervisión y evaluación de configuraciones de recursos en AWS, si el despliegue utiliza esta plataforma.</w:t>
            </w:r>
          </w:p>
        </w:tc>
      </w:tr>
      <w:tr>
        <w:tc>
          <w:tcPr>
            <w:tcW w:type="dxa" w:w="4680"/>
          </w:tcPr>
          <w:p>
            <w:pPr>
              <w:spacing w:line="240" w:lineRule="auto"/>
            </w:pPr>
            <w:r>
              <w:rPr>
                <w:rFonts w:ascii="Times New Roman" w:hAnsi="Times New Roman"/>
                <w:sz w:val="20"/>
              </w:rPr>
              <w:t>Ansible</w:t>
            </w:r>
          </w:p>
        </w:tc>
        <w:tc>
          <w:tcPr>
            <w:tcW w:type="dxa" w:w="4680"/>
          </w:tcPr>
          <w:p>
            <w:pPr>
              <w:spacing w:line="240" w:lineRule="auto"/>
            </w:pPr>
            <w:r>
              <w:rPr>
                <w:rFonts w:ascii="Times New Roman" w:hAnsi="Times New Roman"/>
                <w:sz w:val="20"/>
              </w:rPr>
              <w:t>Automatización de configuración y despliegue de servidores o ambientes.</w:t>
            </w:r>
          </w:p>
        </w:tc>
      </w:tr>
    </w:tbl>
    <w:p>
      <w:pPr>
        <w:spacing w:line="480" w:lineRule="auto"/>
        <w:ind w:firstLine="720"/>
        <w:jc w:val="left"/>
      </w:pPr>
      <w:r>
        <w:rPr>
          <w:rFonts w:ascii="Times New Roman" w:hAnsi="Times New Roman"/>
          <w:b w:val="0"/>
          <w:sz w:val="24"/>
        </w:rPr>
        <w:t>Las herramientas de nube se consideran dentro de la estrategia de GCS de acuerdo con la necesidad de configuración del ambiente. El repositorio Git/GitHub constituye el componente principal para controlar el código y la documentación del proyecto.</w:t>
      </w:r>
    </w:p>
    <w:p>
      <w:r>
        <w:br w:type="page"/>
      </w:r>
    </w:p>
    <w:p>
      <w:pPr>
        <w:pStyle w:val="Heading1"/>
        <w:ind w:firstLine="0"/>
      </w:pPr>
      <w:r>
        <w:t>Estructura requerida del repositorio</w:t>
      </w:r>
    </w:p>
    <w:p>
      <w:pPr>
        <w:spacing w:line="480" w:lineRule="auto"/>
        <w:ind w:firstLine="720"/>
        <w:jc w:val="left"/>
      </w:pPr>
      <w:r>
        <w:rPr>
          <w:rFonts w:ascii="Times New Roman" w:hAnsi="Times New Roman"/>
          <w:b w:val="0"/>
          <w:sz w:val="24"/>
        </w:rPr>
        <w:t>El repositorio debe ser real y contener una estructura que permita evidenciar la gestión de configuración solicitada en el Parcial II.</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Elemento</w:t>
            </w:r>
          </w:p>
        </w:tc>
        <w:tc>
          <w:tcPr>
            <w:tcW w:type="dxa" w:w="4680"/>
            <w:vAlign w:val="center"/>
          </w:tcPr>
          <w:p>
            <w:r>
              <w:rPr>
                <w:rFonts w:ascii="Times New Roman" w:hAnsi="Times New Roman"/>
                <w:b/>
                <w:sz w:val="20"/>
              </w:rPr>
              <w:t>Contenido</w:t>
            </w:r>
          </w:p>
        </w:tc>
      </w:tr>
      <w:tr>
        <w:tc>
          <w:tcPr>
            <w:tcW w:type="dxa" w:w="4680"/>
          </w:tcPr>
          <w:p>
            <w:pPr>
              <w:spacing w:line="240" w:lineRule="auto"/>
            </w:pPr>
            <w:r>
              <w:rPr>
                <w:rFonts w:ascii="Times New Roman" w:hAnsi="Times New Roman"/>
                <w:sz w:val="20"/>
              </w:rPr>
              <w:t>main</w:t>
            </w:r>
          </w:p>
        </w:tc>
        <w:tc>
          <w:tcPr>
            <w:tcW w:type="dxa" w:w="4680"/>
          </w:tcPr>
          <w:p>
            <w:pPr>
              <w:spacing w:line="240" w:lineRule="auto"/>
            </w:pPr>
            <w:r>
              <w:rPr>
                <w:rFonts w:ascii="Times New Roman" w:hAnsi="Times New Roman"/>
                <w:sz w:val="20"/>
              </w:rPr>
              <w:t>Versión estable.</w:t>
            </w:r>
          </w:p>
        </w:tc>
      </w:tr>
      <w:tr>
        <w:tc>
          <w:tcPr>
            <w:tcW w:type="dxa" w:w="4680"/>
          </w:tcPr>
          <w:p>
            <w:pPr>
              <w:spacing w:line="240" w:lineRule="auto"/>
            </w:pPr>
            <w:r>
              <w:rPr>
                <w:rFonts w:ascii="Times New Roman" w:hAnsi="Times New Roman"/>
                <w:sz w:val="20"/>
              </w:rPr>
              <w:t>develop</w:t>
            </w:r>
          </w:p>
        </w:tc>
        <w:tc>
          <w:tcPr>
            <w:tcW w:type="dxa" w:w="4680"/>
          </w:tcPr>
          <w:p>
            <w:pPr>
              <w:spacing w:line="240" w:lineRule="auto"/>
            </w:pPr>
            <w:r>
              <w:rPr>
                <w:rFonts w:ascii="Times New Roman" w:hAnsi="Times New Roman"/>
                <w:sz w:val="20"/>
              </w:rPr>
              <w:t>Integración de cambios.</w:t>
            </w:r>
          </w:p>
        </w:tc>
      </w:tr>
      <w:tr>
        <w:tc>
          <w:tcPr>
            <w:tcW w:type="dxa" w:w="4680"/>
          </w:tcPr>
          <w:p>
            <w:pPr>
              <w:spacing w:line="240" w:lineRule="auto"/>
            </w:pPr>
            <w:r>
              <w:rPr>
                <w:rFonts w:ascii="Times New Roman" w:hAnsi="Times New Roman"/>
                <w:sz w:val="20"/>
              </w:rPr>
              <w:t>feature/cambio-propuesto</w:t>
            </w:r>
          </w:p>
        </w:tc>
        <w:tc>
          <w:tcPr>
            <w:tcW w:type="dxa" w:w="4680"/>
          </w:tcPr>
          <w:p>
            <w:pPr>
              <w:spacing w:line="240" w:lineRule="auto"/>
            </w:pPr>
            <w:r>
              <w:rPr>
                <w:rFonts w:ascii="Times New Roman" w:hAnsi="Times New Roman"/>
                <w:sz w:val="20"/>
              </w:rPr>
              <w:t>Implementación de OCI-001.</w:t>
            </w:r>
          </w:p>
        </w:tc>
      </w:tr>
      <w:tr>
        <w:tc>
          <w:tcPr>
            <w:tcW w:type="dxa" w:w="4680"/>
          </w:tcPr>
          <w:p>
            <w:pPr>
              <w:spacing w:line="240" w:lineRule="auto"/>
            </w:pPr>
            <w:r>
              <w:rPr>
                <w:rFonts w:ascii="Times New Roman" w:hAnsi="Times New Roman"/>
                <w:sz w:val="20"/>
              </w:rPr>
              <w:t>hotfix</w:t>
            </w:r>
          </w:p>
        </w:tc>
        <w:tc>
          <w:tcPr>
            <w:tcW w:type="dxa" w:w="4680"/>
          </w:tcPr>
          <w:p>
            <w:pPr>
              <w:spacing w:line="240" w:lineRule="auto"/>
            </w:pPr>
            <w:r>
              <w:rPr>
                <w:rFonts w:ascii="Times New Roman" w:hAnsi="Times New Roman"/>
                <w:sz w:val="20"/>
              </w:rPr>
              <w:t>Correcciones urgentes.</w:t>
            </w:r>
          </w:p>
        </w:tc>
      </w:tr>
      <w:tr>
        <w:tc>
          <w:tcPr>
            <w:tcW w:type="dxa" w:w="4680"/>
          </w:tcPr>
          <w:p>
            <w:pPr>
              <w:spacing w:line="240" w:lineRule="auto"/>
            </w:pPr>
            <w:r>
              <w:rPr>
                <w:rFonts w:ascii="Times New Roman" w:hAnsi="Times New Roman"/>
                <w:sz w:val="20"/>
              </w:rPr>
              <w:t>.gitignore</w:t>
            </w:r>
          </w:p>
        </w:tc>
        <w:tc>
          <w:tcPr>
            <w:tcW w:type="dxa" w:w="4680"/>
          </w:tcPr>
          <w:p>
            <w:pPr>
              <w:spacing w:line="240" w:lineRule="auto"/>
            </w:pPr>
            <w:r>
              <w:rPr>
                <w:rFonts w:ascii="Times New Roman" w:hAnsi="Times New Roman"/>
                <w:sz w:val="20"/>
              </w:rPr>
              <w:t>Archivos que no deben ingresar al repositorio.</w:t>
            </w:r>
          </w:p>
        </w:tc>
      </w:tr>
      <w:tr>
        <w:tc>
          <w:tcPr>
            <w:tcW w:type="dxa" w:w="4680"/>
          </w:tcPr>
          <w:p>
            <w:pPr>
              <w:spacing w:line="240" w:lineRule="auto"/>
            </w:pPr>
            <w:r>
              <w:rPr>
                <w:rFonts w:ascii="Times New Roman" w:hAnsi="Times New Roman"/>
                <w:sz w:val="20"/>
              </w:rPr>
              <w:t>README.md</w:t>
            </w:r>
          </w:p>
        </w:tc>
        <w:tc>
          <w:tcPr>
            <w:tcW w:type="dxa" w:w="4680"/>
          </w:tcPr>
          <w:p>
            <w:pPr>
              <w:spacing w:line="240" w:lineRule="auto"/>
            </w:pPr>
            <w:r>
              <w:rPr>
                <w:rFonts w:ascii="Times New Roman" w:hAnsi="Times New Roman"/>
                <w:sz w:val="20"/>
              </w:rPr>
              <w:t>Descripción del proyecto y catálogo ECS/EGC.</w:t>
            </w:r>
          </w:p>
        </w:tc>
      </w:tr>
      <w:tr>
        <w:tc>
          <w:tcPr>
            <w:tcW w:type="dxa" w:w="4680"/>
          </w:tcPr>
          <w:p>
            <w:pPr>
              <w:spacing w:line="240" w:lineRule="auto"/>
            </w:pPr>
            <w:r>
              <w:rPr>
                <w:rFonts w:ascii="Times New Roman" w:hAnsi="Times New Roman"/>
                <w:sz w:val="20"/>
              </w:rPr>
              <w:t>Issues</w:t>
            </w:r>
          </w:p>
        </w:tc>
        <w:tc>
          <w:tcPr>
            <w:tcW w:type="dxa" w:w="4680"/>
          </w:tcPr>
          <w:p>
            <w:pPr>
              <w:spacing w:line="240" w:lineRule="auto"/>
            </w:pPr>
            <w:r>
              <w:rPr>
                <w:rFonts w:ascii="Times New Roman" w:hAnsi="Times New Roman"/>
                <w:sz w:val="20"/>
              </w:rPr>
              <w:t>Registro de solicitudes y cambios.</w:t>
            </w:r>
          </w:p>
        </w:tc>
      </w:tr>
      <w:tr>
        <w:tc>
          <w:tcPr>
            <w:tcW w:type="dxa" w:w="4680"/>
          </w:tcPr>
          <w:p>
            <w:pPr>
              <w:spacing w:line="240" w:lineRule="auto"/>
            </w:pPr>
            <w:r>
              <w:rPr>
                <w:rFonts w:ascii="Times New Roman" w:hAnsi="Times New Roman"/>
                <w:sz w:val="20"/>
              </w:rPr>
              <w:t>Pull Requests</w:t>
            </w:r>
          </w:p>
        </w:tc>
        <w:tc>
          <w:tcPr>
            <w:tcW w:type="dxa" w:w="4680"/>
          </w:tcPr>
          <w:p>
            <w:pPr>
              <w:spacing w:line="240" w:lineRule="auto"/>
            </w:pPr>
            <w:r>
              <w:rPr>
                <w:rFonts w:ascii="Times New Roman" w:hAnsi="Times New Roman"/>
                <w:sz w:val="20"/>
              </w:rPr>
              <w:t>Evidencia de revisión e integración.</w:t>
            </w:r>
          </w:p>
        </w:tc>
      </w:tr>
      <w:tr>
        <w:tc>
          <w:tcPr>
            <w:tcW w:type="dxa" w:w="4680"/>
          </w:tcPr>
          <w:p>
            <w:pPr>
              <w:spacing w:line="240" w:lineRule="auto"/>
            </w:pPr>
            <w:r>
              <w:rPr>
                <w:rFonts w:ascii="Times New Roman" w:hAnsi="Times New Roman"/>
                <w:sz w:val="20"/>
              </w:rPr>
              <w:t>Historial Git</w:t>
            </w:r>
          </w:p>
        </w:tc>
        <w:tc>
          <w:tcPr>
            <w:tcW w:type="dxa" w:w="4680"/>
          </w:tcPr>
          <w:p>
            <w:pPr>
              <w:spacing w:line="240" w:lineRule="auto"/>
            </w:pPr>
            <w:r>
              <w:rPr>
                <w:rFonts w:ascii="Times New Roman" w:hAnsi="Times New Roman"/>
                <w:sz w:val="20"/>
              </w:rPr>
              <w:t>Commits y trazabilidad de modificaciones.</w:t>
            </w:r>
          </w:p>
        </w:tc>
      </w:tr>
    </w:tbl>
    <w:p>
      <w:pPr>
        <w:pStyle w:val="Heading2"/>
        <w:ind w:firstLine="0"/>
      </w:pPr>
      <w:r>
        <w:t>Ejemplo de evolución de versiones</w:t>
      </w:r>
    </w:p>
    <w:p>
      <w:pPr>
        <w:spacing w:line="480" w:lineRule="auto"/>
        <w:ind w:firstLine="720"/>
        <w:jc w:val="left"/>
      </w:pPr>
      <w:r>
        <w:rPr>
          <w:rFonts w:ascii="Times New Roman" w:hAnsi="Times New Roman"/>
          <w:b w:val="0"/>
          <w:sz w:val="24"/>
        </w:rPr>
        <w:t>v1.0.0 → versión base del sistema definida en el Parcial I.  v1.1.0 → versión que incorpora el cambio controlado mediante la OCI-001, después de su revisión, pruebas y aprobación.</w:t>
      </w:r>
    </w:p>
    <w:p>
      <w:r>
        <w:br w:type="page"/>
      </w:r>
    </w:p>
    <w:p>
      <w:pPr>
        <w:pStyle w:val="Heading1"/>
        <w:ind w:firstLine="0"/>
      </w:pPr>
      <w:r>
        <w:t>Guion para la demostración de 8–10 minutos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Times New Roman" w:hAnsi="Times New Roman"/>
                <w:b/>
                <w:sz w:val="20"/>
              </w:rPr>
              <w:t>Tiempo</w:t>
            </w:r>
          </w:p>
        </w:tc>
        <w:tc>
          <w:tcPr>
            <w:tcW w:type="dxa" w:w="4680"/>
            <w:vAlign w:val="center"/>
          </w:tcPr>
          <w:p>
            <w:r>
              <w:rPr>
                <w:rFonts w:ascii="Times New Roman" w:hAnsi="Times New Roman"/>
                <w:b/>
                <w:sz w:val="20"/>
              </w:rPr>
              <w:t>Contenido</w:t>
            </w:r>
          </w:p>
        </w:tc>
      </w:tr>
      <w:tr>
        <w:tc>
          <w:tcPr>
            <w:tcW w:type="dxa" w:w="4680"/>
          </w:tcPr>
          <w:p>
            <w:pPr>
              <w:spacing w:line="240" w:lineRule="auto"/>
            </w:pPr>
            <w:r>
              <w:rPr>
                <w:rFonts w:ascii="Times New Roman" w:hAnsi="Times New Roman"/>
                <w:sz w:val="20"/>
              </w:rPr>
              <w:t>0–2 min</w:t>
            </w:r>
          </w:p>
        </w:tc>
        <w:tc>
          <w:tcPr>
            <w:tcW w:type="dxa" w:w="4680"/>
          </w:tcPr>
          <w:p>
            <w:pPr>
              <w:spacing w:line="240" w:lineRule="auto"/>
            </w:pPr>
            <w:r>
              <w:rPr>
                <w:rFonts w:ascii="Times New Roman" w:hAnsi="Times New Roman"/>
                <w:sz w:val="20"/>
              </w:rPr>
              <w:t>Presentación del proyecto, problema de configuración y explicación de la OCI-001.</w:t>
            </w:r>
          </w:p>
        </w:tc>
      </w:tr>
      <w:tr>
        <w:tc>
          <w:tcPr>
            <w:tcW w:type="dxa" w:w="4680"/>
          </w:tcPr>
          <w:p>
            <w:pPr>
              <w:spacing w:line="240" w:lineRule="auto"/>
            </w:pPr>
            <w:r>
              <w:rPr>
                <w:rFonts w:ascii="Times New Roman" w:hAnsi="Times New Roman"/>
                <w:sz w:val="20"/>
              </w:rPr>
              <w:t>2–5 min</w:t>
            </w:r>
          </w:p>
        </w:tc>
        <w:tc>
          <w:tcPr>
            <w:tcW w:type="dxa" w:w="4680"/>
          </w:tcPr>
          <w:p>
            <w:pPr>
              <w:spacing w:line="240" w:lineRule="auto"/>
            </w:pPr>
            <w:r>
              <w:rPr>
                <w:rFonts w:ascii="Times New Roman" w:hAnsi="Times New Roman"/>
                <w:sz w:val="20"/>
              </w:rPr>
              <w:t>Mostrar repositorio, ramas main/develop/feature/cambio-propuesto, historial, versión 1.0.0, cambio a 1.1.0 y Pull Request.</w:t>
            </w:r>
          </w:p>
        </w:tc>
      </w:tr>
      <w:tr>
        <w:tc>
          <w:tcPr>
            <w:tcW w:type="dxa" w:w="4680"/>
          </w:tcPr>
          <w:p>
            <w:pPr>
              <w:spacing w:line="240" w:lineRule="auto"/>
            </w:pPr>
            <w:r>
              <w:rPr>
                <w:rFonts w:ascii="Times New Roman" w:hAnsi="Times New Roman"/>
                <w:sz w:val="20"/>
              </w:rPr>
              <w:t>5–8 min</w:t>
            </w:r>
          </w:p>
        </w:tc>
        <w:tc>
          <w:tcPr>
            <w:tcW w:type="dxa" w:w="4680"/>
          </w:tcPr>
          <w:p>
            <w:pPr>
              <w:spacing w:line="240" w:lineRule="auto"/>
            </w:pPr>
            <w:r>
              <w:rPr>
                <w:rFonts w:ascii="Times New Roman" w:hAnsi="Times New Roman"/>
                <w:sz w:val="20"/>
              </w:rPr>
              <w:t>Mostrar auditoría, checklist, reporte de estado y herramientas utilizadas.</w:t>
            </w:r>
          </w:p>
        </w:tc>
      </w:tr>
      <w:tr>
        <w:tc>
          <w:tcPr>
            <w:tcW w:type="dxa" w:w="4680"/>
          </w:tcPr>
          <w:p>
            <w:pPr>
              <w:spacing w:line="240" w:lineRule="auto"/>
            </w:pPr>
            <w:r>
              <w:rPr>
                <w:rFonts w:ascii="Times New Roman" w:hAnsi="Times New Roman"/>
                <w:sz w:val="20"/>
              </w:rPr>
              <w:t>8–10 min</w:t>
            </w:r>
          </w:p>
        </w:tc>
        <w:tc>
          <w:tcPr>
            <w:tcW w:type="dxa" w:w="4680"/>
          </w:tcPr>
          <w:p>
            <w:pPr>
              <w:spacing w:line="240" w:lineRule="auto"/>
            </w:pPr>
            <w:r>
              <w:rPr>
                <w:rFonts w:ascii="Times New Roman" w:hAnsi="Times New Roman"/>
                <w:sz w:val="20"/>
              </w:rPr>
              <w:t>Evidenciar trazabilidad del cambio, criterios de aceptación y cierre de la demostración.</w:t>
            </w:r>
          </w:p>
        </w:tc>
      </w:tr>
    </w:tbl>
    <w:p>
      <w:pPr>
        <w:spacing w:line="480" w:lineRule="auto"/>
        <w:ind w:firstLine="720"/>
        <w:jc w:val="left"/>
      </w:pPr>
      <w:r>
        <w:rPr>
          <w:rFonts w:ascii="Times New Roman" w:hAnsi="Times New Roman"/>
          <w:b w:val="0"/>
          <w:sz w:val="24"/>
        </w:rPr>
        <w:t>La demostración debe realizarse con el repositorio real y mostrar evidencias verificables del control de configuración, evitando presentar únicamente una simulación del flujo.</w:t>
      </w:r>
    </w:p>
    <w:p>
      <w:r>
        <w:br w:type="page"/>
      </w:r>
    </w:p>
    <w:p>
      <w:pPr>
        <w:pStyle w:val="Heading1"/>
        <w:ind w:firstLine="0"/>
      </w:pPr>
      <w:r>
        <w:t>Conclusión</w:t>
      </w:r>
    </w:p>
    <w:p>
      <w:pPr>
        <w:spacing w:line="480" w:lineRule="auto"/>
        <w:ind w:firstLine="720"/>
        <w:jc w:val="left"/>
      </w:pPr>
      <w:r>
        <w:rPr>
          <w:rFonts w:ascii="Times New Roman" w:hAnsi="Times New Roman"/>
          <w:b w:val="0"/>
          <w:sz w:val="24"/>
        </w:rPr>
        <w:t>La Gestión de Configuración de Software permite controlar de forma organizada la evolución del Sistema de Gestión de Residuos Orgánicos Agroindustriales de la Finca Catalina. A partir de los elementos definidos en el Parcial I, se establecieron componentes de software, datos y documentación que deben mantenerse identificados y versionados.</w:t>
      </w:r>
    </w:p>
    <w:p>
      <w:pPr>
        <w:spacing w:line="480" w:lineRule="auto"/>
        <w:ind w:firstLine="720"/>
        <w:jc w:val="left"/>
      </w:pPr>
      <w:r>
        <w:rPr>
          <w:rFonts w:ascii="Times New Roman" w:hAnsi="Times New Roman"/>
          <w:b w:val="0"/>
          <w:sz w:val="24"/>
        </w:rPr>
        <w:t>La OCI-001 proporciona un mecanismo formal para gestionar un cambio relacionado con el registro y la trazabilidad de la recepción. Su evaluación de impacto, criterios de aceptación y aprobación permiten reducir riesgos antes de integrar modificaciones al sistema. Asimismo, el uso de Git, GitHub, ramas y versionamiento semántico proporciona trazabilidad sobre quién realizó un cambio, cuándo lo realizó y qué elementos fueron afectados.</w:t>
      </w:r>
    </w:p>
    <w:p>
      <w:pPr>
        <w:spacing w:line="480" w:lineRule="auto"/>
        <w:ind w:firstLine="720"/>
        <w:jc w:val="left"/>
      </w:pPr>
      <w:r>
        <w:rPr>
          <w:rFonts w:ascii="Times New Roman" w:hAnsi="Times New Roman"/>
          <w:b w:val="0"/>
          <w:sz w:val="24"/>
        </w:rPr>
        <w:t>Finalmente, la auditoría de configuración y el reporte de estado complementan el proceso al verificar la integridad de los elementos antes de una entrega. De esta manera, la estrategia propuesta responde a los componentes solicitados en el Parcial II y mantiene coherencia con la arquitectura, los requisitos, el prototipo UI/UX y el flujo funcional definido para Finca Catalina.</w:t>
      </w:r>
    </w:p>
    <w:p>
      <w:r>
        <w:br w:type="page"/>
      </w:r>
    </w:p>
    <w:p>
      <w:pPr>
        <w:pStyle w:val="Heading1"/>
        <w:ind w:firstLine="0"/>
      </w:pPr>
      <w:r>
        <w:t>Referencias</w:t>
      </w:r>
    </w:p>
    <w:p>
      <w:pPr>
        <w:spacing w:line="480" w:lineRule="auto"/>
        <w:ind w:firstLine="720"/>
        <w:jc w:val="left"/>
      </w:pPr>
      <w:r>
        <w:rPr>
          <w:rFonts w:ascii="Times New Roman" w:hAnsi="Times New Roman"/>
          <w:b w:val="0"/>
          <w:sz w:val="24"/>
        </w:rPr>
        <w:t>Corporación Universitaria Remington. (2026). Parcial II: Gestión de configuración de software [Guía de actividad].</w:t>
      </w:r>
    </w:p>
    <w:p>
      <w:pPr>
        <w:spacing w:line="480" w:lineRule="auto"/>
        <w:ind w:firstLine="720"/>
        <w:jc w:val="left"/>
      </w:pPr>
      <w:r>
        <w:rPr>
          <w:rFonts w:ascii="Times New Roman" w:hAnsi="Times New Roman"/>
          <w:b w:val="0"/>
          <w:sz w:val="24"/>
        </w:rPr>
        <w:t>Corporación Universitaria Remington. (2026). Sistema de gestión de residuos orgánicos agroindustriales: Prototipado de interfaz UI/UX, marco ágil, arquitectura y patrones de software [Trabajo de Parcial I].</w:t>
      </w:r>
    </w:p>
    <w:p>
      <w:pPr>
        <w:spacing w:line="480" w:lineRule="auto"/>
        <w:ind w:firstLine="720"/>
        <w:jc w:val="left"/>
      </w:pPr>
      <w:r>
        <w:rPr>
          <w:rFonts w:ascii="Times New Roman" w:hAnsi="Times New Roman"/>
          <w:b w:val="0"/>
          <w:sz w:val="24"/>
        </w:rPr>
        <w:t>Gamma, E., Helm, R., Johnson, R., &amp; Vlissides, J. (1994). Design patterns: Elements of reusable object-oriented software. Addison-Wesley.</w:t>
      </w:r>
    </w:p>
    <w:p>
      <w:pPr>
        <w:spacing w:line="480" w:lineRule="auto"/>
        <w:ind w:firstLine="720"/>
        <w:jc w:val="left"/>
      </w:pPr>
      <w:r>
        <w:rPr>
          <w:rFonts w:ascii="Times New Roman" w:hAnsi="Times New Roman"/>
          <w:b w:val="0"/>
          <w:sz w:val="24"/>
        </w:rPr>
        <w:t>Object Management Group. (2017). OMG Unified Modeling Language (OMG UML), version 2.5.1.</w:t>
      </w:r>
    </w:p>
    <w:p>
      <w:pPr>
        <w:spacing w:line="480" w:lineRule="auto"/>
        <w:ind w:firstLine="720"/>
        <w:jc w:val="left"/>
      </w:pPr>
      <w:r>
        <w:rPr>
          <w:rFonts w:ascii="Times New Roman" w:hAnsi="Times New Roman"/>
          <w:b w:val="0"/>
          <w:sz w:val="24"/>
        </w:rPr>
        <w:t>Schwaber, K., &amp; Sutherland, J. (2020). The Scrum Guide: The definitive guide to Scrum: The rules of the game.</w:t>
      </w:r>
    </w:p>
    <w:p>
      <w:pPr>
        <w:spacing w:line="480" w:lineRule="auto"/>
        <w:ind w:firstLine="720"/>
        <w:jc w:val="left"/>
      </w:pPr>
      <w:r>
        <w:rPr>
          <w:rFonts w:ascii="Times New Roman" w:hAnsi="Times New Roman"/>
          <w:b w:val="0"/>
          <w:sz w:val="24"/>
        </w:rPr>
        <w:t>World Wide Web Consortium. (2018). Web Content Accessibility Guidelines (WCAG) 2.1.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Página </w:t>
    </w:r>
    <w:r>
      <w:rPr>
        <w:rFonts w:ascii="Times New Roman" w:hAnsi="Times New Roman"/>
        <w:sz w:val="20"/>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48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