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480"/>
      </w:pPr>
    </w:p>
    <w:p>
      <w:pPr>
        <w:spacing w:after="0" w:before="0" w:line="480"/>
      </w:pPr>
    </w:p>
    <w:p>
      <w:pPr>
        <w:spacing w:after="0" w:before="0" w:line="480"/>
      </w:pPr>
    </w:p>
    <w:p>
      <w:pPr>
        <w:spacing w:after="0" w:before="0" w:line="480"/>
        <w:jc w:val="center"/>
      </w:pPr>
      <w:r>
        <w:rPr>
          <w:b/>
          <w:bCs/>
        </w:rPr>
        <w:t xml:space="preserve">The GENIUS Act and the U.S. Treasury Market: A Smaller Boost and a Larger Risk Than Advertised</w:t>
      </w:r>
    </w:p>
    <w:p>
      <w:pPr>
        <w:spacing w:after="0" w:before="0" w:line="480"/>
      </w:pPr>
    </w:p>
    <w:p>
      <w:pPr>
        <w:spacing w:after="0" w:before="0" w:line="480"/>
        <w:jc w:val="center"/>
      </w:pPr>
      <w:r>
        <w:rPr>
          <w:b w:val="false"/>
          <w:bCs w:val="false"/>
        </w:rPr>
        <w:t xml:space="preserve">[Student Name]</w:t>
      </w:r>
    </w:p>
    <w:p>
      <w:pPr>
        <w:spacing w:after="0" w:before="0" w:line="480"/>
        <w:jc w:val="center"/>
      </w:pPr>
      <w:r>
        <w:rPr>
          <w:b w:val="false"/>
          <w:bCs w:val="false"/>
        </w:rPr>
        <w:t xml:space="preserve">Lubin School of Business, Pace University</w:t>
      </w:r>
    </w:p>
    <w:p>
      <w:pPr>
        <w:spacing w:after="0" w:before="0" w:line="480"/>
        <w:jc w:val="center"/>
      </w:pPr>
      <w:r>
        <w:rPr>
          <w:b w:val="false"/>
          <w:bCs w:val="false"/>
        </w:rPr>
        <w:t xml:space="preserve">[Course Number]: [Course Name]</w:t>
      </w:r>
    </w:p>
    <w:p>
      <w:pPr>
        <w:spacing w:after="0" w:before="0" w:line="480"/>
        <w:jc w:val="center"/>
      </w:pPr>
      <w:r>
        <w:rPr>
          <w:b w:val="false"/>
          <w:bCs w:val="false"/>
        </w:rPr>
        <w:t xml:space="preserve">[Instructor Name]</w:t>
      </w:r>
    </w:p>
    <w:p>
      <w:pPr>
        <w:spacing w:after="0" w:before="0" w:line="480"/>
        <w:jc w:val="center"/>
      </w:pPr>
      <w:r>
        <w:rPr>
          <w:b w:val="false"/>
          <w:bCs w:val="false"/>
        </w:rPr>
        <w:t xml:space="preserve">October 2026</w:t>
      </w:r>
    </w:p>
    <w:p>
      <w:r>
        <w:br w:type="page"/>
      </w:r>
    </w:p>
    <w:p>
      <w:pPr>
        <w:spacing w:after="0" w:before="0" w:line="480"/>
        <w:jc w:val="center"/>
      </w:pPr>
      <w:r>
        <w:rPr>
          <w:b/>
          <w:bCs/>
        </w:rPr>
        <w:t xml:space="preserve">The GENIUS Act and the U.S. Treasury Market: A Smaller Boost and a Larger Risk Than Advertised</w:t>
      </w:r>
    </w:p>
    <w:p>
      <w:pPr>
        <w:spacing w:after="0" w:before="0" w:line="480"/>
        <w:ind w:firstLine="720"/>
      </w:pPr>
      <w:r>
        <w:t xml:space="preserve">When President Trump signed the GENIUS Act in July 2025, Treasury officials presented it as a new source of demand for U.S. government debt. Treasury Secretary Scott Bessent said a $2 trillion dollar-stablecoin market was a reasonable expectation (Dillard, 2025), and the Treasury Borrowing Advisory Committee (TBAC, 2025) projected roughly $900 billion of additional Treasury bill demand by 2028. This paper argues that the macroeconomic benefit is overstated. The Act will add demand for Treasuries, but mostly at the very front of the yield curve, largely by redirecting money that already funds Treasuries or bank credit, and at the cost of tying a new form of runnable private money to the bill market.</w:t>
      </w:r>
    </w:p>
    <w:p>
      <w:pPr>
        <w:spacing w:after="0" w:before="0" w:line="480"/>
        <w:jc w:val="center"/>
      </w:pPr>
      <w:r>
        <w:rPr>
          <w:b/>
          <w:bCs/>
        </w:rPr>
        <w:t xml:space="preserve">What the Act Changes</w:t>
      </w:r>
    </w:p>
    <w:p>
      <w:pPr>
        <w:spacing w:after="0" w:before="0" w:line="480"/>
        <w:ind w:firstLine="720"/>
      </w:pPr>
      <w:r>
        <w:t xml:space="preserve">The Act requires payment stablecoins to be backed one-for-one by cash, insured deposits, Treasury securities with 93 days or less to maturity, overnight repurchase agreements backed by such bills, or money market funds holding only these assets. It also prohibits issuers from paying holders “any form of interest or yield” (GENIUS Act, 2025, § 4; Congressional Research Service [CRS], 2026). The maturity cap is the key macroeconomic feature: stablecoin growth flows almost mechanically into the shortest segment of the Treasury market. Because regulators missed the July 2026 deadline for final rules, the law takes effect on January 18, 2027 (Abrams, 2026).</w:t>
      </w:r>
    </w:p>
    <w:p>
      <w:pPr>
        <w:spacing w:after="0" w:before="0" w:line="480"/>
        <w:jc w:val="center"/>
      </w:pPr>
      <w:r>
        <w:rPr>
          <w:b/>
          <w:bCs/>
        </w:rPr>
        <w:t xml:space="preserve">The Optimistic Case</w:t>
      </w:r>
    </w:p>
    <w:p>
      <w:pPr>
        <w:spacing w:after="0" w:before="0" w:line="480"/>
        <w:ind w:firstLine="720"/>
      </w:pPr>
      <w:r>
        <w:t xml:space="preserve">The supporters’ logic is straightforward. Dollar stablecoins total about $313 billion (DefiLlama, 2026), and Tether alone reported roughly $141 billion of Treasury bill exposure in March 2026 (Tether, 2026). If supply reaches $2 trillion, issuers would become one of the largest buyers of bills, lowering short-term yields and federal financing costs. Federal Reserve Governor Stephen Miran (2025) goes further, arguing that a “global stablecoin glut” could lower the neutral interest rate by as much as 40 basis points.</w:t>
      </w:r>
    </w:p>
    <w:p>
      <w:pPr>
        <w:spacing w:after="0" w:before="0" w:line="480"/>
        <w:jc w:val="center"/>
      </w:pPr>
      <w:r>
        <w:rPr>
          <w:b/>
          <w:bCs/>
        </w:rPr>
        <w:t xml:space="preserve">Why the Effect Is Likely Smaller</w:t>
      </w:r>
    </w:p>
    <w:p>
      <w:pPr>
        <w:spacing w:after="0" w:before="0" w:line="480"/>
        <w:ind w:firstLine="720"/>
      </w:pPr>
      <w:r>
        <w:t xml:space="preserve">Three facts weaken this case. First, scale. Stablecoin issuers hold less than 1% of Treasuries outstanding (TBAC, 2026), against $31.8 trillion of marketable debt (U.S. Department of the Treasury, 2026). Even the TBAC’s $900 billion projection, or Standard Chartered’s estimate of $0.8 trillion to $1.0 trillion of new bill demand by 2028 (Canny, 2026), equals less than 3% of that stock, and it would accumulate over several years.</w:t>
      </w:r>
    </w:p>
    <w:p>
      <w:pPr>
        <w:spacing w:after="0" w:before="0" w:line="480"/>
        <w:ind w:firstLine="720"/>
      </w:pPr>
      <w:r>
        <w:t xml:space="preserve">Second, substitution. Most stablecoin dollars are not new money. Jacewitz (2025) estimates that each dollar moving from bank deposits into stablecoins adds only about 30 cents of net Treasury demand while reducing bank lending by about 50 cents. The TBAC (2026) likewise frames stablecoins as a source of new bill demand chiefly when growth comes from offshore money not already held in dollars. Funds pulled from government money market funds, which already hold bills, add nothing.</w:t>
      </w:r>
    </w:p>
    <w:p>
      <w:pPr>
        <w:spacing w:after="0" w:before="0" w:line="480"/>
        <w:ind w:firstLine="720"/>
      </w:pPr>
      <w:r>
        <w:t xml:space="preserve">Third, the price effect is narrow. Ahmed and Aldasoro (2025) find that large stablecoin inflows lower three-month bill yields by roughly 5 basis points at peak, with limited spillover to longer maturities. That helps the Treasury at the front end but does little for the term premium, which largely determines the cost of financing persistent deficits.</w:t>
      </w:r>
    </w:p>
    <w:p>
      <w:pPr>
        <w:spacing w:after="0" w:before="0" w:line="480"/>
        <w:jc w:val="center"/>
      </w:pPr>
      <w:r>
        <w:rPr>
          <w:b/>
          <w:bCs/>
        </w:rPr>
        <w:t xml:space="preserve">The Risks</w:t>
      </w:r>
    </w:p>
    <w:p>
      <w:pPr>
        <w:spacing w:after="0" w:before="0" w:line="480"/>
        <w:ind w:firstLine="720"/>
      </w:pPr>
      <w:r>
        <w:t xml:space="preserve">The more important macroeconomic consequence may be fragility. Because reserves must sit in bills and short-term repo, a loss of confidence in a major issuer would force rapid bill sales into a stressed market, a dynamic familiar from past money market fund runs. Fed Governor Michael Barr has pointed to “the history of instability in private money markets and recent run dynamics in unregulated stablecoins” and flagged gaps in the Act’s reserve and capital provisions (Orrick, 2025). Ahmed and Aldasoro (2025) also find that the yield effect grows during market stress, which means the channel is strongest exactly when it is most dangerous.</w:t>
      </w:r>
    </w:p>
    <w:p>
      <w:pPr>
        <w:spacing w:after="0" w:before="0" w:line="480"/>
        <w:ind w:firstLine="720"/>
      </w:pPr>
      <w:r>
        <w:t xml:space="preserve">The Act may also reshape Treasury’s financing choices. Bills already make up about 22.8% of marketable debt (U.S. Department of the Treasury, 2026), above the 15% to 20% range the TBAC has recommended since 2020 (TBAC, 2021), and Treasury has said it is “monitoring… growing demand for Treasury bills from the private sector” (Canny, 2026). A structural buyer of bills creates a temptation to finance deficits at the short end, which raises rollover risk. Finally, deposit migration could shrink bank credit: Jacewitz (2025) estimates that stablecoin growth from $250 billion to $900 billion would reduce bank lending by about $325 billion.</w:t>
      </w:r>
    </w:p>
    <w:p>
      <w:pPr>
        <w:spacing w:after="0" w:before="0" w:line="480"/>
        <w:jc w:val="center"/>
      </w:pPr>
      <w:r>
        <w:rPr>
          <w:b/>
          <w:bCs/>
        </w:rPr>
        <w:t xml:space="preserve">Conclusion</w:t>
      </w:r>
    </w:p>
    <w:p>
      <w:pPr>
        <w:spacing w:after="0" w:before="0" w:line="480"/>
        <w:ind w:firstLine="720"/>
      </w:pPr>
      <w:r>
        <w:t xml:space="preserve">The GENIUS Act creates a genuine but modest and concentrated source of Treasury demand. Its benefits accrue mostly to the bill market and are partly offset by lower demand elsewhere and by reduced bank lending. Its costs, namely run risk tied directly to the bill market and an incentive to shorten the maturity of federal debt, are less visible but potentially larger. Policymakers should treat stablecoin demand as a supplement, not a financing strategy. Final rules should require stress-tested liquidity buffers, and Treasury should resist using stablecoin demand as a reason to shorten the debt’s average maturity.</w:t>
      </w:r>
    </w:p>
    <w:p>
      <w:r>
        <w:br w:type="page"/>
      </w:r>
    </w:p>
    <w:p>
      <w:pPr>
        <w:spacing w:after="0" w:before="0" w:line="480"/>
        <w:jc w:val="center"/>
      </w:pPr>
      <w:r>
        <w:rPr>
          <w:b/>
          <w:bCs/>
        </w:rPr>
        <w:t xml:space="preserve">References</w:t>
      </w:r>
    </w:p>
    <w:p>
      <w:pPr>
        <w:spacing w:after="0" w:before="0" w:line="480"/>
        <w:ind w:left="720" w:hanging="720"/>
      </w:pPr>
      <w:r>
        <w:t xml:space="preserve">Abrams, Z. (2026, July 18). US regulators miss GENIUS Act’s one-year deadline for final stablecoin rules. </w:t>
      </w:r>
      <w:r>
        <w:rPr>
          <w:i/>
          <w:iCs/>
        </w:rPr>
        <w:t xml:space="preserve">The Block</w:t>
      </w:r>
      <w:r>
        <w:t xml:space="preserve">. https://www.theblock.co/post/408843/us-regulators-miss-genius-acts-one-year-deadline-for-final-stablecoin-rules</w:t>
      </w:r>
    </w:p>
    <w:p>
      <w:pPr>
        <w:spacing w:after="0" w:before="0" w:line="480"/>
        <w:ind w:left="720" w:hanging="720"/>
      </w:pPr>
      <w:r>
        <w:t xml:space="preserve">Ahmed, R., &amp; Aldasoro, I. (2025). </w:t>
      </w:r>
      <w:r>
        <w:rPr>
          <w:i/>
          <w:iCs/>
        </w:rPr>
        <w:t xml:space="preserve">Stablecoins and safe asset prices</w:t>
      </w:r>
      <w:r>
        <w:t xml:space="preserve"> (BIS Working Paper No. 1270). Bank for International Settlements. https://www.bis.org/publ/work1270.htm</w:t>
      </w:r>
    </w:p>
    <w:p>
      <w:pPr>
        <w:spacing w:after="0" w:before="0" w:line="480"/>
        <w:ind w:left="720" w:hanging="720"/>
      </w:pPr>
      <w:r>
        <w:t xml:space="preserve">Canny, W. (2026, February 23). U.S. Treasury may boost T-bill issuance as stablecoins eye $2 trillion market cap: StanChart. </w:t>
      </w:r>
      <w:r>
        <w:rPr>
          <w:i/>
          <w:iCs/>
        </w:rPr>
        <w:t xml:space="preserve">CoinDesk</w:t>
      </w:r>
      <w:r>
        <w:t xml:space="preserve">. https://www.coindesk.com/business/2026/02/23/u-s-treasury-may-boost-t-bill-issuance-as-stablecoins-eye-usd2-trillion-market-cap-stanchart</w:t>
      </w:r>
    </w:p>
    <w:p>
      <w:pPr>
        <w:spacing w:after="0" w:before="0" w:line="480"/>
        <w:ind w:left="720" w:hanging="720"/>
      </w:pPr>
      <w:r>
        <w:t xml:space="preserve">Congressional Research Service. (2026, March 6). </w:t>
      </w:r>
      <w:r>
        <w:rPr>
          <w:i/>
          <w:iCs/>
        </w:rPr>
        <w:t xml:space="preserve">The stablecoin yield debate</w:t>
      </w:r>
      <w:r>
        <w:t xml:space="preserve"> (IF13174). https://www.everycrsreport.com/reports/IF13174.html</w:t>
      </w:r>
    </w:p>
    <w:p>
      <w:pPr>
        <w:spacing w:after="0" w:before="0" w:line="480"/>
        <w:ind w:left="720" w:hanging="720"/>
      </w:pPr>
      <w:r>
        <w:t xml:space="preserve">DefiLlama. (2026). </w:t>
      </w:r>
      <w:r>
        <w:rPr>
          <w:i/>
          <w:iCs/>
        </w:rPr>
        <w:t xml:space="preserve">Stablecoins</w:t>
      </w:r>
      <w:r>
        <w:t xml:space="preserve"> [Data set]. Retrieved October 3, 2026, from https://defillama.com/stablecoins</w:t>
      </w:r>
    </w:p>
    <w:p>
      <w:pPr>
        <w:spacing w:after="0" w:before="0" w:line="480"/>
        <w:ind w:left="720" w:hanging="720"/>
      </w:pPr>
      <w:r>
        <w:t xml:space="preserve">Dillard, J. (2025, June 11). Bessent says $2 trillion reasonable for dollar stablecoin market. </w:t>
      </w:r>
      <w:r>
        <w:rPr>
          <w:i/>
          <w:iCs/>
        </w:rPr>
        <w:t xml:space="preserve">Bloomberg Law</w:t>
      </w:r>
      <w:r>
        <w:t xml:space="preserve">. https://news.bloomberglaw.com/crypto/bessent-says-2-trillion-reasonable-for-dollar-stablecoin-market</w:t>
      </w:r>
    </w:p>
    <w:p>
      <w:pPr>
        <w:spacing w:after="0" w:before="0" w:line="480"/>
        <w:ind w:left="720" w:hanging="720"/>
      </w:pPr>
      <w:r>
        <w:t xml:space="preserve">Guiding and Establishing National Innovation for U.S. Stablecoins Act (GENIUS Act), Pub. L. No. 119-27 (2025). https://www.govinfo.gov/app/details/PLAW-119publ27</w:t>
      </w:r>
    </w:p>
    <w:p>
      <w:pPr>
        <w:spacing w:after="0" w:before="0" w:line="480"/>
        <w:ind w:left="720" w:hanging="720"/>
      </w:pPr>
      <w:r>
        <w:t xml:space="preserve">Jacewitz, S. (2025, August 8; updated 2026, September 22). Stablecoins could increase Treasury demand, but only by reducing demand for other assets. </w:t>
      </w:r>
      <w:r>
        <w:rPr>
          <w:i/>
          <w:iCs/>
        </w:rPr>
        <w:t xml:space="preserve">Economic Bulletin</w:t>
      </w:r>
      <w:r>
        <w:t xml:space="preserve">. Federal Reserve Bank of Kansas City. https://www.kansascityfed.org/documents/11132/EconomicBulletin25Jacewitz0808.pdf</w:t>
      </w:r>
    </w:p>
    <w:p>
      <w:pPr>
        <w:spacing w:after="0" w:before="0" w:line="480"/>
        <w:ind w:left="720" w:hanging="720"/>
      </w:pPr>
      <w:r>
        <w:t xml:space="preserve">Miran, S. I. (2025, November 7). </w:t>
      </w:r>
      <w:r>
        <w:rPr>
          <w:i/>
          <w:iCs/>
        </w:rPr>
        <w:t xml:space="preserve">A global stablecoin glut - implications for monetary policy</w:t>
      </w:r>
      <w:r>
        <w:t xml:space="preserve"> [Speech]. BIS Central Bankers’ Speeches. https://www.bis.org/review/r251110g.htm</w:t>
      </w:r>
    </w:p>
    <w:p>
      <w:pPr>
        <w:spacing w:after="0" w:before="0" w:line="480"/>
        <w:ind w:left="720" w:hanging="720"/>
      </w:pPr>
      <w:r>
        <w:t xml:space="preserve">Orrick. (2025, October 24). Fed’s Barr highlights gaps in GENIUS Act for regulators to bridge. </w:t>
      </w:r>
      <w:r>
        <w:rPr>
          <w:i/>
          <w:iCs/>
        </w:rPr>
        <w:t xml:space="preserve">InfoBytes</w:t>
      </w:r>
      <w:r>
        <w:t xml:space="preserve">. https://infobytes.orrick.com/2025-10-24/feds-barr-highlights-gaps-in-genius-act-for-regulators-to-bridge/</w:t>
      </w:r>
    </w:p>
    <w:p>
      <w:pPr>
        <w:spacing w:after="0" w:before="0" w:line="480"/>
        <w:ind w:left="720" w:hanging="720"/>
      </w:pPr>
      <w:r>
        <w:t xml:space="preserve">Tether. (2026). </w:t>
      </w:r>
      <w:r>
        <w:rPr>
          <w:i/>
          <w:iCs/>
        </w:rPr>
        <w:t xml:space="preserve">Tether posts $1.04B Q1 2026 profit despite highly volatile global markets</w:t>
      </w:r>
      <w:r>
        <w:t xml:space="preserve"> [Press release]. https://tether.io/news/tether-posts-1-04b-q1-2026-profit-despite-highly-volatile-global-markets-reaches-all-time-highs-8-23b-reserve-buffer-and-maintains-u-s-treasury-heavy-backing/</w:t>
      </w:r>
    </w:p>
    <w:p>
      <w:pPr>
        <w:spacing w:after="0" w:before="0" w:line="480"/>
        <w:ind w:left="720" w:hanging="720"/>
      </w:pPr>
      <w:r>
        <w:t xml:space="preserve">Treasury Borrowing Advisory Committee. (2025, April 30). </w:t>
      </w:r>
      <w:r>
        <w:rPr>
          <w:i/>
          <w:iCs/>
        </w:rPr>
        <w:t xml:space="preserve">Digital money</w:t>
      </w:r>
      <w:r>
        <w:t xml:space="preserve"> [Presentation]. U.S. Department of the Treasury. https://home.treasury.gov/system/files/221/TBACCharge2Q22025.pdf</w:t>
      </w:r>
    </w:p>
    <w:p>
      <w:pPr>
        <w:spacing w:after="0" w:before="0" w:line="480"/>
        <w:ind w:left="720" w:hanging="720"/>
      </w:pPr>
      <w:r>
        <w:t xml:space="preserve">Treasury Borrowing Advisory Committee. (2021, November). </w:t>
      </w:r>
      <w:r>
        <w:rPr>
          <w:i/>
          <w:iCs/>
        </w:rPr>
        <w:t xml:space="preserve">TBAC charge: T-bills supply</w:t>
      </w:r>
      <w:r>
        <w:t xml:space="preserve"> [Presentation]. U.S. Department of the Treasury. https://home.treasury.gov/system/files/221/TBACCharge2Q42021.pdf</w:t>
      </w:r>
    </w:p>
    <w:p>
      <w:pPr>
        <w:spacing w:after="0" w:before="0" w:line="480"/>
        <w:ind w:left="720" w:hanging="720"/>
      </w:pPr>
      <w:r>
        <w:t xml:space="preserve">Treasury Borrowing Advisory Committee. (2026, February). </w:t>
      </w:r>
      <w:r>
        <w:rPr>
          <w:i/>
          <w:iCs/>
        </w:rPr>
        <w:t xml:space="preserve">Trends in demand for US Treasury securities</w:t>
      </w:r>
      <w:r>
        <w:t xml:space="preserve"> [Presentation]. U.S. Department of the Treasury. https://home.treasury.gov/system/files/221/TBACCharge2Q12026.pdf</w:t>
      </w:r>
    </w:p>
    <w:p>
      <w:pPr>
        <w:spacing w:after="0" w:before="0" w:line="480"/>
        <w:ind w:left="720" w:hanging="720"/>
      </w:pPr>
      <w:r>
        <w:t xml:space="preserve">U.S. Department of the Treasury, Bureau of the Fiscal Service. (2026). </w:t>
      </w:r>
      <w:r>
        <w:rPr>
          <w:i/>
          <w:iCs/>
        </w:rPr>
        <w:t xml:space="preserve">Monthly statement of the public debt of the United States: August 31, 2026</w:t>
      </w:r>
      <w:r>
        <w:t xml:space="preserve"> [Data set]. https://fiscaldata.treasury.gov</w:t>
      </w:r>
    </w:p>
    <w:sectPr>
      <w:headerReference w:type="default" r:id="rId6"/>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2026-10-04T02:23:19.233Z</dcterms:created>
  <dcterms:modified xsi:type="dcterms:W3CDTF">2026-10-04T02:23:19.233Z</dcterms:modified>
</cp:coreProperties>
</file>

<file path=docProps/custom.xml><?xml version="1.0" encoding="utf-8"?>
<Properties xmlns="http://schemas.openxmlformats.org/officeDocument/2006/custom-properties" xmlns:vt="http://schemas.openxmlformats.org/officeDocument/2006/docPropsVTypes"/>
</file>