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color w:val="1F3B63"/>
          <w:sz w:val="44"/>
        </w:rPr>
        <w:t>面向应急救灾的低轨卫星—地面融合组网</w:t>
        <w:br/>
        <w:t>快速接入系统</w:t>
      </w:r>
    </w:p>
    <w:p>
      <w:pPr>
        <w:jc w:val="center"/>
      </w:pPr>
      <w:r>
        <w:rPr>
          <w:rFonts w:ascii="Calibri" w:hAnsi="Calibri" w:eastAsia="黑体"/>
          <w:b/>
          <w:color w:val="333333"/>
          <w:sz w:val="32"/>
        </w:rPr>
        <w:t>项目技术文档</w:t>
      </w:r>
    </w:p>
    <w:p>
      <w:pPr>
        <w:jc w:val="center"/>
      </w:pPr>
      <w:r>
        <w:rPr>
          <w:rFonts w:ascii="Calibri" w:hAnsi="Calibri" w:eastAsia="宋体"/>
          <w:b w:val="0"/>
          <w:color w:val="666666"/>
          <w:sz w:val="24"/>
        </w:rPr>
        <w:t>技术设计 · 性能信息 · 参考文献 · 数据来源 · 技术创新点</w:t>
      </w:r>
    </w:p>
    <w:p>
      <w:pPr>
        <w:jc w:val="center"/>
      </w:pPr>
      <w:r>
        <w:rPr>
          <w:rFonts w:ascii="Calibri" w:hAnsi="Calibri" w:eastAsia="宋体"/>
          <w:b w:val="0"/>
          <w:color w:val="666666"/>
          <w:sz w:val="22"/>
        </w:rPr>
        <w:t>编制日期：2026-09-02</w:t>
      </w:r>
    </w:p>
    <w:p>
      <w:r>
        <w:br w:type="page"/>
      </w:r>
    </w:p>
    <w:p>
      <w:pPr>
        <w:spacing w:line="336" w:lineRule="auto"/>
      </w:pPr>
      <w:r>
        <w:rPr>
          <w:rFonts w:ascii="Calibri" w:hAnsi="Calibri" w:eastAsia="宋体"/>
          <w:b/>
          <w:sz w:val="21"/>
        </w:rPr>
        <w:t>本技术文档系统梳理项目的技术设计、仿真性能数据、参考文献、数据来源与技术创新点，作为申报、中期检查、结题答辩与论文产出的统一技术依据。</w:t>
      </w:r>
    </w:p>
    <w:p>
      <w:pPr>
        <w:pStyle w:val="Heading1"/>
      </w:pPr>
      <w:r>
        <w:rPr>
          <w:rFonts w:ascii="Calibri" w:hAnsi="Calibri" w:eastAsia="黑体"/>
          <w:b/>
          <w:color w:val="1F3B63"/>
          <w:sz w:val="32"/>
        </w:rPr>
        <w:t>一、项目概述</w:t>
      </w:r>
    </w:p>
    <w:p>
      <w:pPr>
        <w:spacing w:line="336" w:lineRule="auto"/>
        <w:ind w:firstLine="420"/>
      </w:pPr>
      <w:r>
        <w:rPr>
          <w:rFonts w:ascii="Calibri" w:hAnsi="Calibri" w:eastAsia="宋体"/>
          <w:b w:val="0"/>
          <w:sz w:val="21"/>
        </w:rPr>
        <w:t>面向灾后地面公网（含核心网、信关站）完全瘫痪的应急场景，依托低轨（LEO）卫星星座，让海量、突发的地面终端快速接入卫星网络，并以“可预测切换”实现切换低中断；全部以仿真平台（ns-3 协议级 + Python 推演/数据 + Web 可视化）完成验证与演示。</w:t>
      </w:r>
    </w:p>
    <w:p>
      <w:pPr>
        <w:spacing w:line="336" w:lineRule="auto"/>
        <w:ind w:firstLine="420"/>
      </w:pPr>
      <w:r>
        <w:rPr>
          <w:rFonts w:ascii="Calibri" w:hAnsi="Calibri" w:eastAsia="宋体"/>
          <w:b w:val="0"/>
          <w:sz w:val="21"/>
        </w:rPr>
        <w:t>核心痛点三点：接入风暴（公网瘫痪瞬间海量终端冷启动并发接入）、切换中断累积（单星可见仅数分钟，全程需多次换星）、星上资源受限（再生载荷算力/存储有限）。核心洞察：LEO 星座运动确定可预测，将“预测”同时注入接入与切换，把大量在线交互前移为离线/提前计算，从而绕开三个痛点。</w:t>
      </w:r>
    </w:p>
    <w:p>
      <w:pPr>
        <w:pStyle w:val="Heading1"/>
      </w:pPr>
      <w:r>
        <w:rPr>
          <w:rFonts w:ascii="Calibri" w:hAnsi="Calibri" w:eastAsia="黑体"/>
          <w:b/>
          <w:color w:val="1F3B63"/>
          <w:sz w:val="32"/>
        </w:rPr>
        <w:t>二、技术设计</w:t>
      </w:r>
    </w:p>
    <w:p>
      <w:pPr>
        <w:pStyle w:val="Heading2"/>
      </w:pPr>
      <w:r>
        <w:rPr>
          <w:rFonts w:ascii="Calibri" w:hAnsi="Calibri" w:eastAsia="黑体"/>
          <w:b/>
          <w:color w:val="1F3B63"/>
          <w:sz w:val="26"/>
        </w:rPr>
        <w:t>2.1 系统架构</w:t>
      </w:r>
    </w:p>
    <w:p>
      <w:pPr>
        <w:spacing w:line="336" w:lineRule="auto"/>
        <w:ind w:firstLine="420"/>
      </w:pPr>
      <w:r>
        <w:rPr>
          <w:rFonts w:ascii="Calibri" w:hAnsi="Calibri" w:eastAsia="宋体"/>
          <w:b w:val="0"/>
          <w:sz w:val="21"/>
        </w:rPr>
        <w:t>系统采用“天基—空基—地面”三层融合架构，仿真侧按技术栈划分为三块：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技术栈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对应任务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L1 场景与轨道层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Walker 星座 / TLE 星历、灾害场景参数包、终端分布与危险度标签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Python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T2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L2 信道与链路层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星地可见性、链路预算、多普勒频偏、TA 定时提前量、SNR/丢包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ns-3 + Python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T1、T2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L3 协议状态机层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接入握手、星上认证、预测式切换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ns-3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T3、T4、T5~T8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L4 评估与数据层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trace 输出、指标统计、实验批量驱动、结果数据集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ns-3 → Python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T10、T11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L5 可视化推演层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数字孪生推演、Web 展示、历史灾害复盘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Python + Web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T12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color w:val="1F3B63"/>
          <w:sz w:val="26"/>
        </w:rPr>
        <w:t>2.2 双轨仿真架构</w:t>
      </w:r>
    </w:p>
    <w:p>
      <w:pPr>
        <w:spacing w:line="336" w:lineRule="auto"/>
        <w:ind w:firstLine="420"/>
      </w:pPr>
      <w:r>
        <w:rPr>
          <w:rFonts w:ascii="Calibri" w:hAnsi="Calibri" w:eastAsia="宋体"/>
          <w:b w:val="0"/>
          <w:sz w:val="21"/>
        </w:rPr>
        <w:t>为保证结果的严谨性与可复现性，仿真采用“双轨交叉验证”：</w:t>
      </w:r>
    </w:p>
    <w:p>
      <w:pPr>
        <w:pStyle w:val="ListBullet"/>
        <w:spacing w:line="324" w:lineRule="auto"/>
      </w:pPr>
      <w:r>
        <w:rPr>
          <w:rFonts w:ascii="Calibri" w:hAnsi="Calibri" w:eastAsia="宋体"/>
          <w:b w:val="0"/>
          <w:sz w:val="21"/>
        </w:rPr>
        <w:t>ns-3 轨（协议级严谨仿真）：RACH 流程、接入握手、星上认证、切换判决、链路级指标采集，由离散事件引擎（Simulator）驱动，产出契约化 CSV trace。</w:t>
      </w:r>
    </w:p>
    <w:p>
      <w:pPr>
        <w:pStyle w:val="ListBullet"/>
        <w:spacing w:line="324" w:lineRule="auto"/>
      </w:pPr>
      <w:r>
        <w:rPr>
          <w:rFonts w:ascii="Calibri" w:hAnsi="Calibri" w:eastAsia="宋体"/>
          <w:b w:val="0"/>
          <w:sz w:val="21"/>
        </w:rPr>
        <w:t>Python 轨（推演/数据/供数）：真实 TLE 星历 + skyfield 轨道/可见性预计算、灾害场景参数包、实验批量驱动、trace 解析与指标统计。</w:t>
      </w:r>
    </w:p>
    <w:p>
      <w:pPr>
        <w:pStyle w:val="ListBullet"/>
        <w:spacing w:line="324" w:lineRule="auto"/>
      </w:pPr>
      <w:r>
        <w:rPr>
          <w:rFonts w:ascii="Calibri" w:hAnsi="Calibri" w:eastAsia="宋体"/>
          <w:b w:val="0"/>
          <w:sz w:val="21"/>
        </w:rPr>
        <w:t>接口约定：场景配置 JSON（Python → ns-3）、trace CSV（ns-3 → Python）、统计结果 JSON（Python → Web），字段写死在 docs/仿真接口约定.md，统一 16 列 trace 契约。</w:t>
      </w:r>
    </w:p>
    <w:p/>
    <w:p>
      <w:pPr>
        <w:pStyle w:val="Heading2"/>
      </w:pPr>
      <w:r>
        <w:rPr>
          <w:rFonts w:ascii="Calibri" w:hAnsi="Calibri" w:eastAsia="黑体"/>
          <w:b/>
          <w:color w:val="1F3B63"/>
          <w:sz w:val="26"/>
        </w:rPr>
        <w:t>2.3 核心机制一：轻量两步接入协议（LAP）</w:t>
      </w:r>
    </w:p>
    <w:p>
      <w:pPr>
        <w:spacing w:line="336" w:lineRule="auto"/>
        <w:ind w:firstLine="420"/>
      </w:pPr>
      <w:r>
        <w:rPr>
          <w:rFonts w:ascii="Calibri" w:hAnsi="Calibri" w:eastAsia="宋体"/>
          <w:b w:val="0"/>
          <w:sz w:val="21"/>
        </w:rPr>
        <w:t>把“能预算的全部预算，能合并的消息全部合并”，两条消息（MsgA/MsgB）完成“同步 + 接入 + 认证”：</w:t>
      </w:r>
    </w:p>
    <w:p>
      <w:pPr>
        <w:pStyle w:val="ListBullet"/>
        <w:spacing w:line="324" w:lineRule="auto"/>
      </w:pPr>
      <w:r>
        <w:rPr>
          <w:rFonts w:ascii="Calibri" w:hAnsi="Calibri" w:eastAsia="宋体"/>
          <w:b w:val="0"/>
          <w:sz w:val="21"/>
        </w:rPr>
        <w:t>终端离线预计算：星历（SIB19）+ GNSS → TA/多普勒开环预补偿（Rel-17 强制能力复用）。</w:t>
      </w:r>
    </w:p>
    <w:p>
      <w:pPr>
        <w:pStyle w:val="ListBullet"/>
        <w:spacing w:line="324" w:lineRule="auto"/>
      </w:pPr>
      <w:r>
        <w:rPr>
          <w:rFonts w:ascii="Calibri" w:hAnsi="Calibri" w:eastAsia="宋体"/>
          <w:b w:val="0"/>
          <w:sz w:val="21"/>
        </w:rPr>
        <w:t>MsgA：前导 | TID | 认证令牌 | 业务类型，字段定长定址、布局固定。</w:t>
      </w:r>
    </w:p>
    <w:p>
      <w:pPr>
        <w:pStyle w:val="ListBullet"/>
        <w:spacing w:line="324" w:lineRule="auto"/>
      </w:pPr>
      <w:r>
        <w:rPr>
          <w:rFonts w:ascii="Calibri" w:hAnsi="Calibri" w:eastAsia="宋体"/>
          <w:b w:val="0"/>
          <w:sz w:val="21"/>
        </w:rPr>
        <w:t>MsgB：确认 + 资源指配 + TA 校正；星上一次哈希比对（O(1)）通过即接入，不通过静默丢弃（不耗信令）。</w:t>
      </w:r>
    </w:p>
    <w:p>
      <w:pPr>
        <w:pStyle w:val="ListBullet"/>
        <w:spacing w:line="324" w:lineRule="auto"/>
      </w:pPr>
      <w:r>
        <w:rPr>
          <w:rFonts w:ascii="Calibri" w:hAnsi="Calibri" w:eastAsia="宋体"/>
          <w:b w:val="0"/>
          <w:sz w:val="21"/>
        </w:rPr>
        <w:t>认证强度分级：首次冷启动用无证书公钥（CLC/CL-PKC）强认证（一次性）；后续切换用哈希链轻量续认证，星上一次比对即确认。</w:t>
      </w:r>
    </w:p>
    <w:p>
      <w:pPr>
        <w:pStyle w:val="ListBullet"/>
        <w:spacing w:line="324" w:lineRule="auto"/>
      </w:pPr>
      <w:r>
        <w:rPr>
          <w:rFonts w:ascii="Calibri" w:hAnsi="Calibri" w:eastAsia="宋体"/>
          <w:b w:val="0"/>
          <w:sz w:val="21"/>
        </w:rPr>
        <w:t>拥塞控制：卫星广播三档负载等级，终端按“业务优先级 × 负载等级”查表退避，高负载下低优先级自动让路。</w:t>
      </w:r>
    </w:p>
    <w:p/>
    <w:p>
      <w:pPr>
        <w:pStyle w:val="Heading2"/>
      </w:pPr>
      <w:r>
        <w:rPr>
          <w:rFonts w:ascii="Calibri" w:hAnsi="Calibri" w:eastAsia="黑体"/>
          <w:b/>
          <w:color w:val="1F3B63"/>
          <w:sz w:val="26"/>
        </w:rPr>
        <w:t>2.4 核心机制二：预拓扑驱动的无缝切换（PTHO）</w:t>
      </w:r>
    </w:p>
    <w:p>
      <w:pPr>
        <w:spacing w:line="336" w:lineRule="auto"/>
        <w:ind w:firstLine="420"/>
      </w:pPr>
      <w:r>
        <w:rPr>
          <w:rFonts w:ascii="Calibri" w:hAnsi="Calibri" w:eastAsia="宋体"/>
          <w:b w:val="0"/>
          <w:sz w:val="21"/>
        </w:rPr>
        <w:t>将“未来一段时间内每个区域依次由哪些星覆盖”离线预计算成时间展开拓扑（预拓扑表/Contact Plan），切换从“在线发现”变为“查表执行”：</w:t>
      </w:r>
    </w:p>
    <w:p>
      <w:pPr>
        <w:pStyle w:val="ListBullet"/>
        <w:spacing w:line="324" w:lineRule="auto"/>
      </w:pPr>
      <w:r>
        <w:rPr>
          <w:rFonts w:ascii="Calibri" w:hAnsi="Calibri" w:eastAsia="宋体"/>
          <w:b w:val="0"/>
          <w:sz w:val="21"/>
        </w:rPr>
        <w:t>预拓扑层（离线）：输入星历、灾区网格、时延约束，输出“区域—时间—卫星序列”；终端与服务星共用同一张表，天然双端同步锁定，无需在线协商。</w:t>
      </w:r>
    </w:p>
    <w:p>
      <w:pPr>
        <w:pStyle w:val="ListBullet"/>
        <w:spacing w:line="324" w:lineRule="auto"/>
      </w:pPr>
      <w:r>
        <w:rPr>
          <w:rFonts w:ascii="Calibri" w:hAnsi="Calibri" w:eastAsia="宋体"/>
          <w:b w:val="0"/>
          <w:sz w:val="21"/>
        </w:rPr>
        <w:t>预迁移（先建后断）：当前星按预拓扑表在切换窗之前把终端最小上下文打包为“终端携带的安全上下文令牌”（百字节级），切换时由终端呈交后继星。</w:t>
      </w:r>
    </w:p>
    <w:p>
      <w:pPr>
        <w:pStyle w:val="ListBullet"/>
        <w:spacing w:line="324" w:lineRule="auto"/>
      </w:pPr>
      <w:r>
        <w:rPr>
          <w:rFonts w:ascii="Calibri" w:hAnsi="Calibri" w:eastAsia="宋体"/>
          <w:b w:val="0"/>
          <w:sz w:val="21"/>
        </w:rPr>
        <w:t>一次比对重连：后继星与预迁移缓存一次比对即恢复通信，跳过完整接入，认证状态跨星无损延续。</w:t>
      </w:r>
    </w:p>
    <w:p>
      <w:pPr>
        <w:pStyle w:val="ListBullet"/>
        <w:spacing w:line="324" w:lineRule="auto"/>
      </w:pPr>
      <w:r>
        <w:rPr>
          <w:rFonts w:ascii="Calibri" w:hAnsi="Calibri" w:eastAsia="宋体"/>
          <w:b w:val="0"/>
          <w:sz w:val="21"/>
        </w:rPr>
        <w:t>双条件判决 + 回退：剩余可见时间满足业务约束且链路稳定 → 不切换（防乒乓）；否则提前切换；实际可见星失配 → 回退 LAP 两步接入，失配只降级不失效。</w:t>
      </w:r>
    </w:p>
    <w:p/>
    <w:p>
      <w:pPr>
        <w:pStyle w:val="Heading2"/>
      </w:pPr>
      <w:r>
        <w:rPr>
          <w:rFonts w:ascii="Calibri" w:hAnsi="Calibri" w:eastAsia="黑体"/>
          <w:b/>
          <w:color w:val="1F3B63"/>
          <w:sz w:val="26"/>
        </w:rPr>
        <w:t>2.5 安全认证机制（T4，无核心网本地认证）</w:t>
      </w:r>
    </w:p>
    <w:p>
      <w:pPr>
        <w:spacing w:line="336" w:lineRule="auto"/>
        <w:ind w:firstLine="420"/>
      </w:pPr>
      <w:r>
        <w:rPr>
          <w:rFonts w:ascii="Calibri" w:hAnsi="Calibri" w:eastAsia="宋体"/>
          <w:b w:val="0"/>
          <w:sz w:val="21"/>
        </w:rPr>
        <w:t>灾后无核心网（AUSF/UDM/HSS 不可用），认证全部本地化到卫星载荷：</w:t>
      </w:r>
    </w:p>
    <w:p>
      <w:pPr>
        <w:pStyle w:val="ListBullet"/>
        <w:spacing w:line="324" w:lineRule="auto"/>
      </w:pPr>
      <w:r>
        <w:rPr>
          <w:rFonts w:ascii="Calibri" w:hAnsi="Calibri" w:eastAsia="宋体"/>
          <w:b w:val="0"/>
          <w:sz w:val="21"/>
        </w:rPr>
        <w:t>双根模型：设备根身份（出厂/eSIM 预置）+ 运营凭证（星上首联发证，卫星作为在轨 KGC）。</w:t>
      </w:r>
    </w:p>
    <w:p>
      <w:pPr>
        <w:pStyle w:val="ListBullet"/>
        <w:spacing w:line="324" w:lineRule="auto"/>
      </w:pPr>
      <w:r>
        <w:rPr>
          <w:rFonts w:ascii="Calibri" w:hAnsi="Calibri" w:eastAsia="宋体"/>
          <w:b w:val="0"/>
          <w:sz w:val="21"/>
        </w:rPr>
        <w:t>动态匿名标识（假名轮换），与长期身份解耦，保护终端隐私。</w:t>
      </w:r>
    </w:p>
    <w:p>
      <w:pPr>
        <w:pStyle w:val="ListBullet"/>
        <w:spacing w:line="324" w:lineRule="auto"/>
      </w:pPr>
      <w:r>
        <w:rPr>
          <w:rFonts w:ascii="Calibri" w:hAnsi="Calibri" w:eastAsia="宋体"/>
          <w:b w:val="0"/>
          <w:sz w:val="21"/>
        </w:rPr>
        <w:t>仿真实现采用真实 HMAC-SHA256 校验：派生密钥 dev_key = HMAC(root_key, “devkey” || term_id)，凭证为 (假名, 计数器, MAC)，星上重算 MAC 比对 + 计数器单调递增防重放。</w:t>
      </w:r>
    </w:p>
    <w:p>
      <w:pPr>
        <w:pStyle w:val="ListBullet"/>
        <w:spacing w:line="324" w:lineRule="auto"/>
      </w:pPr>
      <w:r>
        <w:rPr>
          <w:rFonts w:ascii="Calibri" w:hAnsi="Calibri" w:eastAsia="宋体"/>
          <w:b w:val="0"/>
          <w:sz w:val="21"/>
        </w:rPr>
        <w:t>攻击者分两类建模：盲伪造（无密钥，漏检概率 2^-32）与密钥泄露（持有效密钥，密码层无法检出，刻画纯密码认证的检出率上限，作为“需与物理层特征融合”的量化依据）。</w:t>
      </w:r>
    </w:p>
    <w:p>
      <w:pPr>
        <w:pStyle w:val="ListBullet"/>
        <w:spacing w:line="324" w:lineRule="auto"/>
      </w:pPr>
      <w:r>
        <w:rPr>
          <w:rFonts w:ascii="Calibri" w:hAnsi="Calibri" w:eastAsia="宋体"/>
          <w:b w:val="0"/>
          <w:sz w:val="21"/>
        </w:rPr>
        <w:t>虚警率由信道误码决定（BER 翻转 MAC 比特 → 合法终端被误拒），使“仰角代价”兑现为真实后果。</w:t>
      </w:r>
    </w:p>
    <w:p/>
    <w:p>
      <w:pPr>
        <w:pStyle w:val="Heading2"/>
      </w:pPr>
      <w:r>
        <w:rPr>
          <w:rFonts w:ascii="Calibri" w:hAnsi="Calibri" w:eastAsia="黑体"/>
          <w:b/>
          <w:color w:val="1F3B63"/>
          <w:sz w:val="26"/>
        </w:rPr>
        <w:t>2.6 生存优先分级调度（创新点·温度）</w:t>
      </w:r>
    </w:p>
    <w:p>
      <w:pPr>
        <w:spacing w:line="336" w:lineRule="auto"/>
        <w:ind w:firstLine="420"/>
      </w:pPr>
      <w:r>
        <w:rPr>
          <w:rFonts w:ascii="Calibri" w:hAnsi="Calibri" w:eastAsia="宋体"/>
          <w:b w:val="0"/>
          <w:sz w:val="21"/>
        </w:rPr>
        <w:t>综合优先级 = f(业务优先级, 终端位置危险度)，指挥/救援（high）终端优先接入：</w:t>
      </w:r>
    </w:p>
    <w:p>
      <w:pPr>
        <w:pStyle w:val="ListBullet"/>
        <w:spacing w:line="324" w:lineRule="auto"/>
      </w:pPr>
      <w:r>
        <w:rPr>
          <w:rFonts w:ascii="Calibri" w:hAnsi="Calibri" w:eastAsia="宋体"/>
          <w:b w:val="0"/>
          <w:sz w:val="21"/>
        </w:rPr>
        <w:t>优先级感知 RACH：high/med/low 三档专用预留池（比例 0.5/0.3/0.2），互不借用，杜绝“med&lt;low”假象。</w:t>
      </w:r>
    </w:p>
    <w:p>
      <w:pPr>
        <w:pStyle w:val="ListBullet"/>
        <w:spacing w:line="324" w:lineRule="auto"/>
      </w:pPr>
      <w:r>
        <w:rPr>
          <w:rFonts w:ascii="Calibri" w:hAnsi="Calibri" w:eastAsia="宋体"/>
          <w:b w:val="0"/>
          <w:sz w:val="21"/>
        </w:rPr>
        <w:t>退避按优先级缩放：high 退避 0.3、med 0.6、low 1.0，高优重发更快。</w:t>
      </w:r>
    </w:p>
    <w:p>
      <w:pPr>
        <w:pStyle w:val="ListBullet"/>
        <w:spacing w:line="324" w:lineRule="auto"/>
      </w:pPr>
      <w:r>
        <w:rPr>
          <w:rFonts w:ascii="Calibri" w:hAnsi="Calibri" w:eastAsia="宋体"/>
          <w:b w:val="0"/>
          <w:sz w:val="21"/>
        </w:rPr>
        <w:t>科学版自适应调度（dp）：用 Kaufman-Roberts 生灭过程精确解每窗口最优 guard 阈值，低高危负载时自动回收闲置预留（g_h→0），中/低危成功率提升而高危不变。</w:t>
      </w:r>
    </w:p>
    <w:p/>
    <w:p>
      <w:pPr>
        <w:pStyle w:val="Heading2"/>
      </w:pPr>
      <w:r>
        <w:rPr>
          <w:rFonts w:ascii="Calibri" w:hAnsi="Calibri" w:eastAsia="黑体"/>
          <w:b/>
          <w:color w:val="1F3B63"/>
          <w:sz w:val="26"/>
        </w:rPr>
        <w:t>2.7 模块化代码组织</w:t>
      </w:r>
    </w:p>
    <w:p>
      <w:pPr>
        <w:spacing w:line="336" w:lineRule="auto"/>
        <w:ind w:firstLine="420"/>
      </w:pPr>
      <w:r>
        <w:rPr>
          <w:rFonts w:ascii="Calibri" w:hAnsi="Calibri" w:eastAsia="宋体"/>
          <w:b w:val="0"/>
          <w:sz w:val="21"/>
        </w:rPr>
        <w:t>仿真代码按逻辑分层组织于 sim/ 目录，每层标注可替换（REPLACEABLE / SWAP POINT），便于单独替换不影响其他层：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sim/config.py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中央配置，所有可调参数集中此处，每个常量标注来源（物理/标准/假设/实测）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sim/scenario.py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灾害场景参数包（汶川/河南暴雨、呼叫风暴、Rel-17 基线对照）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sim/data_sources.py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真实数据源抓取（Celestrak TLE，含 provenance 溯源 + 本地缓存）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sim/orbit.py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TLE + skyfield 真实轨道与可见性计算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sim/channel.py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链路预算：斜距 → 路径损耗 → Eb/N0 → BER → MAC 误码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sim/auth.py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真实 HMAC-SHA256 星上认证（验签 + 重放检测 + 实测校验时延）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sim/protocol.py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协议参考实现：接入握手 + 预测式切换 + 优先级 RACH（★SWAP POINT★）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sim/prio_opt.py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Kaufman-Roberts 生灭过程精确求解最优 guard 阈值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sim/ns3_io.py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ns-3 接口 I/O：生成 ECEF 星历/终端分布、回采 trace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sim/eval.py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唯一指标实现（接入/切换/认证/分级调度全口径）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sim/interfaces.py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接口契约读写（16 列 trace 契约）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sim/viz.py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可视化（matplotlib 惰性加载，PNG + HTML 报告）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.ns3_ref/leo_access.cc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ns-3 离散事件仿真（优先级 RACH + 预测式切换，与 Python 轨同参）</w:t>
            </w:r>
          </w:p>
        </w:tc>
      </w:tr>
    </w:tbl>
    <w:p/>
    <w:p>
      <w:pPr>
        <w:pStyle w:val="Heading1"/>
      </w:pPr>
      <w:r>
        <w:rPr>
          <w:rFonts w:ascii="Calibri" w:hAnsi="Calibri" w:eastAsia="黑体"/>
          <w:b/>
          <w:color w:val="1F3B63"/>
          <w:sz w:val="32"/>
        </w:rPr>
        <w:t>三、性能信息</w:t>
      </w:r>
    </w:p>
    <w:p>
      <w:pPr>
        <w:pStyle w:val="Heading2"/>
      </w:pPr>
      <w:r>
        <w:rPr>
          <w:rFonts w:ascii="Calibri" w:hAnsi="Calibri" w:eastAsia="黑体"/>
          <w:b/>
          <w:color w:val="1F3B63"/>
          <w:sz w:val="26"/>
        </w:rPr>
        <w:t>3.1 双轨指标对照（OneWeb 真实 TLE，651 星，掩角 25°）</w:t>
      </w:r>
    </w:p>
    <w:p>
      <w:pPr>
        <w:spacing w:line="336" w:lineRule="auto"/>
        <w:ind w:firstLine="420"/>
      </w:pPr>
      <w:r>
        <w:rPr>
          <w:rFonts w:ascii="Calibri" w:hAnsi="Calibri" w:eastAsia="宋体"/>
          <w:b w:val="0"/>
          <w:sz w:val="21"/>
        </w:rPr>
        <w:t>数据源：Celestrak OneWeb TLE，仿真时长 3600s，双轨同参交叉验证。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</w:tcPr>
          <w:p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轨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接入成功率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接入时延均值(ms)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时延 P95(ms)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汶川（常规突发）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Python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1.0000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13.14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13.39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汶川（常规突发）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ns-3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1.0000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13.15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13.46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河南暴雨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Python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1.0000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12.39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12.69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河南暴雨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ns-3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1.0000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12.37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12.69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汶川呼叫风暴(两步)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Python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0.6454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356.0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1012.75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汶川呼叫风暴(两步)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ns-3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0.8194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275.04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929.33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汶川风暴(四步基线)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Python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0.6454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756.0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1412.75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汶川风暴(四步基线)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ns-3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0.8194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675.04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1329.33</w:t>
            </w:r>
          </w:p>
        </w:tc>
      </w:tr>
    </w:tbl>
    <w:p/>
    <w:p>
      <w:pPr>
        <w:spacing w:line="336" w:lineRule="auto"/>
        <w:ind w:firstLine="420"/>
      </w:pPr>
      <w:r>
        <w:rPr>
          <w:rFonts w:ascii="Calibri" w:hAnsi="Calibri" w:eastAsia="宋体"/>
          <w:b w:val="0"/>
          <w:sz w:val="20"/>
        </w:rPr>
        <w:t>两步 vs 四步 RACH 时延增益：双轨均为精确 +400.0 ms（RAR 窗口 160ms + 竞争解决定时器 200ms + 两个额外几何往返），即两步预补偿接入相对 Rel-17 四步基线在呼叫风暴下时延增益 400ms。</w:t>
      </w:r>
    </w:p>
    <w:p/>
    <w:p>
      <w:pPr>
        <w:pStyle w:val="Heading2"/>
      </w:pPr>
      <w:r>
        <w:rPr>
          <w:rFonts w:ascii="Calibri" w:hAnsi="Calibri" w:eastAsia="黑体"/>
          <w:b/>
          <w:color w:val="1F3B63"/>
          <w:sz w:val="26"/>
        </w:rPr>
        <w:t>3.2 生存优先分级调度实测增益（呼叫风暴）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21"/>
          </w:tcPr>
          <w:p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优先级开启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优先级关闭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high 危接入成功率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0.8945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0.5818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开启后 +0.31（拒绝数 92→23）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high 危时延均值(ms)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50.6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376.37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开启后 −87%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生存优先_成功率差(high−low)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+0.4782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−0.0006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high 显著优于 low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生存优先_时延降低%(high vs low)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+89.7%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−6.4%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high 时延远低于 low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color w:val="1F3B63"/>
          <w:sz w:val="26"/>
        </w:rPr>
        <w:t>3.3 相对 Rel-17 基线提升%（本方案 vs 标准范式）</w:t>
      </w:r>
    </w:p>
    <w:p>
      <w:pPr>
        <w:spacing w:line="336" w:lineRule="auto"/>
        <w:ind w:firstLine="420"/>
      </w:pPr>
      <w:r>
        <w:rPr>
          <w:rFonts w:ascii="Calibri" w:hAnsi="Calibri" w:eastAsia="宋体"/>
          <w:b w:val="0"/>
          <w:sz w:val="21"/>
        </w:rPr>
        <w:t>受控对照：从 rel17_baseline（四步 RACH + 反应式切换 + 无优先级 + 无星间预迁移 + 5s 星历漂移）继承完全相同的负载，仅翻转接入/切换范式，确保对照只反映方案差异。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相对 Rel-17 基线提升%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接入时延均值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降低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−64.7%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切换中断时间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降低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预测式(ho_lead=20) vs 反应式(ho_lead=0)：2077→0.11ms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高危终端接入成功率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提升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+54.4%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乒乓切换率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降低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+2.8%（注：风暴下整体成功率 −24.5% 为生存优先刻意权衡）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伪造终端拦截率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持平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持平（与接入范式无关）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color w:val="1F3B63"/>
          <w:sz w:val="26"/>
        </w:rPr>
        <w:t>3.4 系统运行性能（性能诊断报告结论）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94"/>
          </w:tcPr>
          <w:p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项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实测值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Python 轨全流程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3.06 s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1200 终端 × 3600s × 651 星，含可视化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Python 轨 --no-viz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1.50 s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指标-only 模式（可视化惰性加载优化后）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协议主体 run_protocol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1.56 s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其中 _el_deg 瞬时仰角占 1.13s（缓存命中 94.7%）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ns-3 纯仿真调度墙钟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2.46 s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约 450 万事件，C++ 下健康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run_ns3.py 整体墙钟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18.4 s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已消除强制重编译（原 29.5s）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扩展性 6000 终端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10.52 s / 34.2 MB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5 倍终端仅 1.9 倍耗时，亚线性，无 O(N²) 隐患</w:t>
            </w:r>
          </w:p>
        </w:tc>
      </w:tr>
    </w:tbl>
    <w:p/>
    <w:p>
      <w:pPr>
        <w:pStyle w:val="Heading1"/>
      </w:pPr>
      <w:r>
        <w:rPr>
          <w:rFonts w:ascii="Calibri" w:hAnsi="Calibri" w:eastAsia="黑体"/>
          <w:b/>
          <w:color w:val="1F3B63"/>
          <w:sz w:val="32"/>
        </w:rPr>
        <w:t>四、参考文献</w:t>
      </w:r>
    </w:p>
    <w:p>
      <w:pPr>
        <w:pStyle w:val="Heading2"/>
      </w:pPr>
      <w:r>
        <w:rPr>
          <w:rFonts w:ascii="Calibri" w:hAnsi="Calibri" w:eastAsia="黑体"/>
          <w:b/>
          <w:color w:val="1F3B63"/>
          <w:sz w:val="26"/>
        </w:rPr>
        <w:t>4.1 标准文档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94"/>
          </w:tcPr>
          <w:p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资料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核心内容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S1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3GPP TS 38.821（Rel-16/17 NTN）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TA/多普勒开环预补偿、Koffset、透明载荷，四步接入对照基线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S2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3GPP NTN 综述（3gpp.org）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CHO 条件切换（事件 A4/时间/位置触发）、SIB19 星历广播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S3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3GPP TS 38.331（RRC）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SIB19 内容、CHO 配置信令、TA 上报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S4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3GPP Rel-18 NTN 演进（RP-234078）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再生载荷、RACH-less 切换，星上本地认证架构依据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color w:val="1F3B63"/>
          <w:sz w:val="26"/>
        </w:rPr>
        <w:t>4.2 研究论文与技术文献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</w:tcPr>
          <w:p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资料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核心价值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P1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Handover challenges in disaggregated open RAN for LEO（Frontiers 2025）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dx.doi.org/10.3389/frspt.2025.1580005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定时器触发切换，支撑切换判决准则设计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P2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Non-Terrestrial Networking for 6G（arXiv:2412.00820）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arxiv.org/abs/2412.00820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预配置切换序列，支撑切换预测与目标锁定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P3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AI-driven orchestration for integrated satellite-terrestrial 6G（ITU Journal 2026）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itu.int/dms_pub/itu-s/opb/jnl/S-JNL-VOL7.ISSUE2-2026-A13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应急救灾为 NTN 正当用例，切换 SOTA 综述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P4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Convergence of telecom with 5G satellite components（Annales 2024）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annales.org/enjeux-numeriques/2024/2024-03-24.pdf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RACH-less 切换先例，认证延续创新空间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P5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ShareTechnote NTN RACH 解析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w.sharetechnote.com/html/NTN/NTN_RACH.html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2-step RACH，四步压两步的标准化路径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P6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Multisatellite Cooperative Random Access（IEEE Systems J. 2019）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2019ISysJ..13.2617Z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多星协同随机接入，灾害多星过顶增强方向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P7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APL-CRDSA（IEEE Access 2019）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ieeexplore.ieee.org/document/8719893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自适应包长 CRDSA 吞吐改进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P8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LC-CRDSA3（Sensors 2021）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mdpi.com/1424-8220/21/4/1040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负载感知接入控制，支撑退避拥塞控制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P9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Asynchronous ACRDA（Sensors 2023）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mdpi.com/1424-8220/23/7/3549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ALOHA 家族演进图谱，现状综述主线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P10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Indirect Authentication in LEO Networks（Ad Hoc Networks 2026）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sciencedirect.com/.../S1570870526000648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直接认证为前沿方向，灾害场景核心论断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P11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Authentication Measures in SatCom Networks（IEEE Access 2024）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ieeexplore.ieee.org/document/10693434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物理层认证、FHAP 切换认证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P12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面向单粒子效应的卫星网络弹性组网（航空学报 2026）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指导教师成果[1]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三层弹性架构母本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P13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Blockchain-Based Cross-Domain Authentication for UAV（IEEE IoT J. 2025）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DOI: 10.1109/JIOT.2025.3627629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动态假名、本地可验证凭证思想（不引入区块链）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color w:val="1F3B63"/>
          <w:sz w:val="26"/>
        </w:rPr>
        <w:t>4.3 开源仿真项目（选型参考）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</w:tcPr>
          <w:p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仓库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特点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SNS-3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github.com/sns3/sns3-satellite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活跃维护、兼容 ns-3.48、含 SGP4 轨道模型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Hypatia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github.com/snkas/hypatia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IMC 2020 论文配套框架，锁定 ns-3.31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5G-LENA nr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gitlab.com/cttc-lena/nr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唯一完整 3GPP NR 协议栈 + NTN 支持的 ns-3 模块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ns-3.48 主线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nsnam.org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内置 LEO 星座移动性 + NTN 传播场景</w:t>
            </w:r>
          </w:p>
        </w:tc>
      </w:tr>
    </w:tbl>
    <w:p>
      <w:pPr>
        <w:pStyle w:val="Heading1"/>
      </w:pPr>
      <w:r>
        <w:rPr>
          <w:rFonts w:ascii="Calibri" w:hAnsi="Calibri" w:eastAsia="黑体"/>
          <w:b/>
          <w:color w:val="1F3B63"/>
          <w:sz w:val="32"/>
        </w:rPr>
        <w:t>五、数据来源</w:t>
      </w:r>
    </w:p>
    <w:p>
      <w:pPr>
        <w:spacing w:line="336" w:lineRule="auto"/>
        <w:ind w:firstLine="420"/>
      </w:pPr>
      <w:r>
        <w:rPr>
          <w:rFonts w:ascii="Calibri" w:hAnsi="Calibri" w:eastAsia="宋体"/>
          <w:b w:val="0"/>
          <w:sz w:val="21"/>
        </w:rPr>
        <w:t>本项目仿真数据严格遵循“真实数据 + 溯源可查”原则，绝不硬编码数据本身。所有抓取均记录 provenance（来源/URL/时间/数量），TLE 落盘缓存，离线复现优先读缓存。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81"/>
          </w:tcPr>
          <w:p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URL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CelesTrak NORAD 星历库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https://celestrak.org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OneWeb 等真实星座 TLE 两行根数（每日更新），651 颗 OneWeb 星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SNS-3 仓库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https://github.com/sns3/sns3-satellite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仿真平台候选（信息搜集）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Hypatia 仓库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https://github.com/snkas/hypatia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仿真平台候选（信息搜集）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5G-LENA nr 模块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https://gitlab.com/cttc-lena/nr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仿真平台候选（NR 协议栈 + NTN）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ns-3 官网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https://www.nsnam.org/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ns-3.48 内置 LEO 移动性情报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3GPP NTN 综述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https://3gpp.org/technologies/ntn-overview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CHO 触发条件、移动性管理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starlink.sx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https://starlink.sx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Demo 可视化参考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arXiv 2412.00820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https://arxiv.org/abs/2412.00820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6G NTN 综述、预配置切换序列</w:t>
            </w:r>
          </w:p>
        </w:tc>
      </w:tr>
    </w:tbl>
    <w:p/>
    <w:p>
      <w:pPr>
        <w:spacing w:line="336" w:lineRule="auto"/>
        <w:ind w:firstLine="420"/>
      </w:pPr>
      <w:r>
        <w:rPr>
          <w:rFonts w:ascii="Calibri" w:hAnsi="Calibri" w:eastAsia="宋体"/>
          <w:b w:val="0"/>
          <w:sz w:val="21"/>
        </w:rPr>
        <w:t>TLE 星历经 skyfield（SGP4）真实计算为 ECEF 轨迹（含地球自转），逐 15s 采样驱动 ns-3 移动性；可见性、多普勒频偏、传播时延均由真实几何计算。设备与协议层参数（星上处理时延、EIRP、G/T、速率、定时器等）为显式标注的建模假设，已内嵌“常量溯源表”逐项标注来源类别，核心结论项（切换提前量、星历预测误差、星上 CPU 降频系数、选星权重）支持命令行扫描做敏感性分析。</w:t>
      </w:r>
    </w:p>
    <w:p>
      <w:pPr>
        <w:pStyle w:val="Heading1"/>
      </w:pPr>
      <w:r>
        <w:rPr>
          <w:rFonts w:ascii="Calibri" w:hAnsi="Calibri" w:eastAsia="黑体"/>
          <w:b/>
          <w:color w:val="1F3B63"/>
          <w:sz w:val="32"/>
        </w:rPr>
        <w:t>六、技术创新点</w:t>
      </w:r>
    </w:p>
    <w:p>
      <w:pPr>
        <w:pStyle w:val="Heading2"/>
      </w:pPr>
      <w:r>
        <w:rPr>
          <w:rFonts w:ascii="Calibri" w:hAnsi="Calibri" w:eastAsia="黑体"/>
          <w:b/>
          <w:color w:val="1F3B63"/>
          <w:sz w:val="26"/>
        </w:rPr>
        <w:t>6.1 四维创新点（快 · 安全 · 温度 · 演示）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</w:tcPr>
          <w:p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创新点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技术内涵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快（机制）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轻量两步接入 LAP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四步 RACH 压为两步，MsgA 内嵌认证令牌，接入与认证同步完成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快（机制）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预拓扑无缝切换 PTHO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查表执行切换，先建后断 + 一次比对重连，认证状态跨星无损延续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安全（架构）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无核心网星上本地认证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双根模型 + 动态假名 + 哈希链续认证，星上 O(1) 一次比对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温度（调度）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生存优先分级接入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综合优先级 f(业务, 危险度)，最危险的人先接入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演示（平台）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双轨交叉验证平台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ns-3 协议级 + Python 推演双轨同参互证，指标可复算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color w:val="1F3B63"/>
          <w:sz w:val="26"/>
        </w:rPr>
        <w:t>6.2 与现有技术（SOTA）的差异化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</w:tcPr>
          <w:p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现有技术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局限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本方案差异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3GPP Rel-17 四步 RACH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轮次多、LEO 时延放大、无突发冷启动机制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两步预补偿，接入认证同步，时延 −64.7%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CHO（条件切换）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只前移准备与同步，认证状态跨星延续空白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认证上下文预迁移 + 一次比对，补全认证延续维度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RACH-less 切换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解决同步但不解决认证状态延续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安全上下文令牌随终端重连帧呈交，星上本地比对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间接认证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依赖地面设施，灾区恰好失效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星上本地直接认证，运行期零地面依赖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color w:val="1F3B63"/>
          <w:sz w:val="26"/>
        </w:rPr>
        <w:t>6.3 论文叙事线</w:t>
      </w:r>
    </w:p>
    <w:p>
      <w:pPr>
        <w:pStyle w:val="ListBullet"/>
        <w:spacing w:line="324" w:lineRule="auto"/>
      </w:pPr>
      <w:r>
        <w:rPr>
          <w:rFonts w:ascii="Calibri" w:hAnsi="Calibri" w:eastAsia="宋体"/>
          <w:b w:val="0"/>
          <w:sz w:val="21"/>
        </w:rPr>
        <w:t>问题新：灾害冷启动 + 无核心网约束下的接入—切换联合优化（ITU 已列为 NTN 用例）。</w:t>
      </w:r>
    </w:p>
    <w:p>
      <w:pPr>
        <w:pStyle w:val="ListBullet"/>
        <w:spacing w:line="324" w:lineRule="auto"/>
      </w:pPr>
      <w:r>
        <w:rPr>
          <w:rFonts w:ascii="Calibri" w:hAnsi="Calibri" w:eastAsia="宋体"/>
          <w:b w:val="0"/>
          <w:sz w:val="21"/>
        </w:rPr>
        <w:t>机制新：预拓扑驱动的“先建后断 + 一次比对”切换，补全 CHO/RACH-less 缺失的认证延续维度。</w:t>
      </w:r>
    </w:p>
    <w:p>
      <w:pPr>
        <w:pStyle w:val="ListBullet"/>
        <w:spacing w:line="324" w:lineRule="auto"/>
      </w:pPr>
      <w:r>
        <w:rPr>
          <w:rFonts w:ascii="Calibri" w:hAnsi="Calibri" w:eastAsia="宋体"/>
          <w:b w:val="0"/>
          <w:sz w:val="21"/>
        </w:rPr>
        <w:t>约束真：星上轻量化全程可量化（接入/切换均为 O(1)，存储上界明确可压测），不是口号。</w:t>
      </w:r>
    </w:p>
    <w:p>
      <w:pPr>
        <w:pStyle w:val="ListBullet"/>
        <w:spacing w:line="324" w:lineRule="auto"/>
      </w:pPr>
      <w:r>
        <w:rPr>
          <w:rFonts w:ascii="Calibri" w:hAnsi="Calibri" w:eastAsia="宋体"/>
          <w:b w:val="0"/>
          <w:sz w:val="21"/>
        </w:rPr>
        <w:t>实验实：接入风暴扫描 + 长会话多切换 + 失配诚实性 + 消融实验，双轨平台可复现。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