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1971D" w14:textId="7BB6E4A2" w:rsidR="007465A5" w:rsidRDefault="000E1500">
      <w:pPr>
        <w:rPr>
          <w:rFonts w:ascii="宋体" w:eastAsia="宋体" w:hAnsi="宋体" w:cs="Times New Roman" w:hint="eastAsia"/>
        </w:rPr>
      </w:pPr>
      <w:r w:rsidRPr="000E1500">
        <w:rPr>
          <w:rFonts w:ascii="宋体" w:eastAsia="宋体" w:hAnsi="宋体" w:cs="Times New Roman"/>
        </w:rPr>
        <w:t>C1、C4、C6代表不同铣削工况：PHM2010 数据集中的不同切削工况/数据序列的编号</w:t>
      </w:r>
    </w:p>
    <w:p w14:paraId="45DCD0BA" w14:textId="77777777" w:rsidR="000E1500" w:rsidRDefault="000E1500">
      <w:pPr>
        <w:rPr>
          <w:rFonts w:ascii="宋体" w:eastAsia="宋体" w:hAnsi="宋体" w:cs="Times New Roman" w:hint="eastAsia"/>
        </w:rPr>
      </w:pPr>
    </w:p>
    <w:p w14:paraId="12B7C50E" w14:textId="30D248E7" w:rsidR="000E1500" w:rsidRDefault="000E1500">
      <w:pPr>
        <w:rPr>
          <w:rFonts w:ascii="宋体" w:eastAsia="宋体" w:hAnsi="宋体" w:cs="Times New Roman" w:hint="eastAsia"/>
        </w:rPr>
      </w:pPr>
      <w:r w:rsidRPr="000E1500">
        <w:rPr>
          <w:rFonts w:ascii="宋体" w:eastAsia="宋体" w:hAnsi="宋体" w:cs="Times New Roman"/>
          <w:b/>
          <w:bCs/>
        </w:rPr>
        <w:t>退化一致性</w:t>
      </w:r>
      <w:r w:rsidRPr="000E1500">
        <w:rPr>
          <w:rFonts w:ascii="宋体" w:eastAsia="宋体" w:hAnsi="宋体" w:cs="Times New Roman" w:hint="eastAsia"/>
          <w:b/>
          <w:bCs/>
        </w:rPr>
        <w:t>：</w:t>
      </w:r>
      <w:r>
        <w:rPr>
          <w:rFonts w:ascii="宋体" w:eastAsia="宋体" w:hAnsi="宋体" w:cs="Times New Roman" w:hint="eastAsia"/>
        </w:rPr>
        <w:t>刀具磨损总体上是不可逆的，因此退化一致性希望对预测的整体顺序是早期、中期、后期，而不是早期、中期、早期、中期、后期、中期等这种乱序。</w:t>
      </w:r>
    </w:p>
    <w:p w14:paraId="519CDAEF" w14:textId="77777777" w:rsidR="000E1500" w:rsidRDefault="000E1500">
      <w:pPr>
        <w:rPr>
          <w:rFonts w:ascii="宋体" w:eastAsia="宋体" w:hAnsi="宋体" w:cs="Times New Roman" w:hint="eastAsia"/>
        </w:rPr>
      </w:pPr>
    </w:p>
    <w:p w14:paraId="3E98FB5E" w14:textId="5F949B26" w:rsidR="000E1500" w:rsidRDefault="000E1500">
      <w:pPr>
        <w:rPr>
          <w:rFonts w:ascii="宋体" w:eastAsia="宋体" w:hAnsi="宋体" w:cs="Times New Roman" w:hint="eastAsia"/>
        </w:rPr>
      </w:pPr>
      <w:r>
        <w:rPr>
          <w:rFonts w:ascii="宋体" w:eastAsia="宋体" w:hAnsi="宋体" w:cs="Times New Roman" w:hint="eastAsia"/>
        </w:rPr>
        <w:t>论文的核心动机：不要让模型只进行各自工况下不同的传感数据与磨损情况数据的映射对齐，而是寻找到背后的规律，能从传感数据中推理出当前的刀具磨损情况，而不限于某一个工况。</w:t>
      </w:r>
    </w:p>
    <w:p w14:paraId="490E2FF9" w14:textId="77777777" w:rsidR="00F73B01" w:rsidRPr="001E7825" w:rsidRDefault="00F73B01">
      <w:pPr>
        <w:rPr>
          <w:rFonts w:ascii="宋体" w:eastAsia="宋体" w:hAnsi="宋体" w:cs="Times New Roman" w:hint="eastAsia"/>
          <w:b/>
          <w:bCs/>
        </w:rPr>
      </w:pPr>
    </w:p>
    <w:p w14:paraId="32C78C5B" w14:textId="2DB06914" w:rsidR="001E7825" w:rsidRPr="001E7825" w:rsidRDefault="001E7825" w:rsidP="001E7825">
      <w:pPr>
        <w:jc w:val="center"/>
        <w:rPr>
          <w:rFonts w:ascii="黑体" w:eastAsia="黑体" w:hAnsi="黑体" w:cs="Times New Roman" w:hint="eastAsia"/>
          <w:b/>
          <w:bCs/>
        </w:rPr>
      </w:pPr>
      <w:r w:rsidRPr="001E7825">
        <w:rPr>
          <w:rFonts w:ascii="黑体" w:eastAsia="黑体" w:hAnsi="黑体" w:cs="Times New Roman"/>
          <w:b/>
          <w:bCs/>
        </w:rPr>
        <w:t>实验分类编号</w:t>
      </w:r>
    </w:p>
    <w:p w14:paraId="534F6AB2" w14:textId="0270EE0E" w:rsidR="00F73B01" w:rsidRDefault="001E7825">
      <w:pPr>
        <w:rPr>
          <w:rFonts w:ascii="宋体" w:eastAsia="宋体" w:hAnsi="宋体" w:cs="Times New Roman" w:hint="eastAsia"/>
        </w:rPr>
      </w:pPr>
      <w:r w:rsidRPr="001E7825">
        <w:rPr>
          <w:rFonts w:ascii="宋体" w:eastAsia="宋体" w:hAnsi="宋体" w:cs="Times New Roman"/>
        </w:rPr>
        <w:t>PHM2010</w:t>
      </w:r>
      <w:r>
        <w:rPr>
          <w:rFonts w:ascii="宋体" w:eastAsia="宋体" w:hAnsi="宋体" w:cs="Times New Roman" w:hint="eastAsia"/>
        </w:rPr>
        <w:t>数据集的实验任务编号：</w:t>
      </w:r>
    </w:p>
    <w:p w14:paraId="196CD46F" w14:textId="41693EE4" w:rsidR="000E1500" w:rsidRDefault="000E1500">
      <w:pPr>
        <w:rPr>
          <w:rFonts w:ascii="宋体" w:eastAsia="宋体" w:hAnsi="宋体" w:cs="Times New Roman" w:hint="eastAsia"/>
        </w:rPr>
      </w:pPr>
      <w:r>
        <w:rPr>
          <w:rFonts w:ascii="宋体" w:eastAsia="宋体" w:hAnsi="宋体" w:cs="Times New Roman" w:hint="eastAsia"/>
        </w:rPr>
        <w:t>在C1+C4工况下训练，之后在C6工况下测试论文所提算法的有效性，进行跨工况泛化验证，排除模型对各工况的过度拟合情况</w:t>
      </w:r>
    </w:p>
    <w:p w14:paraId="34535A4B" w14:textId="0BD99E3C" w:rsidR="00C20C0F" w:rsidRDefault="00C20C0F">
      <w:pPr>
        <w:rPr>
          <w:rFonts w:ascii="宋体" w:eastAsia="宋体" w:hAnsi="宋体" w:cs="Times New Roman" w:hint="eastAsia"/>
        </w:rPr>
      </w:pPr>
      <w:r>
        <w:rPr>
          <w:rFonts w:ascii="宋体" w:eastAsia="宋体" w:hAnsi="宋体" w:cs="Times New Roman" w:hint="eastAsia"/>
        </w:rPr>
        <w:t>实验任务编号：</w:t>
      </w:r>
    </w:p>
    <w:p w14:paraId="06738B11" w14:textId="4CC4F407" w:rsidR="00C20C0F" w:rsidRDefault="00C20C0F" w:rsidP="00C20C0F">
      <w:pPr>
        <w:jc w:val="center"/>
        <w:rPr>
          <w:rFonts w:ascii="宋体" w:eastAsia="宋体" w:hAnsi="宋体" w:cs="Times New Roman" w:hint="eastAsia"/>
        </w:rPr>
      </w:pPr>
      <w:r>
        <w:rPr>
          <w:noProof/>
        </w:rPr>
        <w:drawing>
          <wp:inline distT="0" distB="0" distL="0" distR="0" wp14:anchorId="3AD299F8" wp14:editId="3EDABB49">
            <wp:extent cx="2210462" cy="1005618"/>
            <wp:effectExtent l="0" t="0" r="0" b="4445"/>
            <wp:docPr id="1503773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73013" name=""/>
                    <pic:cNvPicPr/>
                  </pic:nvPicPr>
                  <pic:blipFill>
                    <a:blip r:embed="rId4"/>
                    <a:stretch>
                      <a:fillRect/>
                    </a:stretch>
                  </pic:blipFill>
                  <pic:spPr>
                    <a:xfrm>
                      <a:off x="0" y="0"/>
                      <a:ext cx="2217510" cy="1008824"/>
                    </a:xfrm>
                    <a:prstGeom prst="rect">
                      <a:avLst/>
                    </a:prstGeom>
                  </pic:spPr>
                </pic:pic>
              </a:graphicData>
            </a:graphic>
          </wp:inline>
        </w:drawing>
      </w:r>
    </w:p>
    <w:p w14:paraId="7E08A402" w14:textId="433DE3F0" w:rsidR="001E7825" w:rsidRDefault="001E7825" w:rsidP="00C20C0F">
      <w:pPr>
        <w:rPr>
          <w:rFonts w:ascii="宋体" w:eastAsia="宋体" w:hAnsi="宋体" w:cs="Times New Roman" w:hint="eastAsia"/>
        </w:rPr>
      </w:pPr>
      <w:r w:rsidRPr="001E7825">
        <w:rPr>
          <w:rFonts w:ascii="宋体" w:eastAsia="宋体" w:hAnsi="宋体" w:cs="Times New Roman"/>
        </w:rPr>
        <w:t>NASA Milling数据集的实验任务编号：</w:t>
      </w:r>
      <w:r>
        <w:rPr>
          <w:rFonts w:ascii="宋体" w:eastAsia="宋体" w:hAnsi="宋体" w:cs="Times New Roman" w:hint="eastAsia"/>
        </w:rPr>
        <w:t>N1、2、3、4</w:t>
      </w:r>
    </w:p>
    <w:p w14:paraId="198DB219" w14:textId="77777777" w:rsidR="001E7825" w:rsidRDefault="001E7825" w:rsidP="00C20C0F">
      <w:pPr>
        <w:rPr>
          <w:rFonts w:ascii="宋体" w:eastAsia="宋体" w:hAnsi="宋体" w:cs="Times New Roman" w:hint="eastAsia"/>
        </w:rPr>
      </w:pPr>
    </w:p>
    <w:p w14:paraId="5B846DB0" w14:textId="77777777" w:rsidR="001E7825" w:rsidRDefault="001E7825" w:rsidP="00C20C0F">
      <w:pPr>
        <w:rPr>
          <w:rFonts w:ascii="宋体" w:eastAsia="宋体" w:hAnsi="宋体" w:cs="Times New Roman" w:hint="eastAsia"/>
        </w:rPr>
      </w:pPr>
    </w:p>
    <w:p w14:paraId="18890F0A" w14:textId="385E475A" w:rsidR="001E7825" w:rsidRPr="001E7825" w:rsidRDefault="001E7825" w:rsidP="001E7825">
      <w:pPr>
        <w:jc w:val="center"/>
        <w:rPr>
          <w:rFonts w:ascii="黑体" w:eastAsia="黑体" w:hAnsi="黑体" w:cs="Times New Roman" w:hint="eastAsia"/>
          <w:b/>
          <w:bCs/>
        </w:rPr>
      </w:pPr>
      <w:r w:rsidRPr="001E7825">
        <w:rPr>
          <w:rFonts w:ascii="黑体" w:eastAsia="黑体" w:hAnsi="黑体" w:cs="Times New Roman" w:hint="eastAsia"/>
          <w:b/>
          <w:bCs/>
        </w:rPr>
        <w:t>论文中各方法的编号</w:t>
      </w:r>
    </w:p>
    <w:p w14:paraId="5558D229" w14:textId="1B469681" w:rsidR="00C20C0F" w:rsidRDefault="00C20C0F" w:rsidP="00C20C0F">
      <w:pPr>
        <w:rPr>
          <w:rFonts w:ascii="宋体" w:eastAsia="宋体" w:hAnsi="宋体" w:cs="Times New Roman" w:hint="eastAsia"/>
        </w:rPr>
      </w:pPr>
      <w:r>
        <w:rPr>
          <w:rFonts w:ascii="宋体" w:eastAsia="宋体" w:hAnsi="宋体" w:cs="Times New Roman" w:hint="eastAsia"/>
        </w:rPr>
        <w:t>B1-B12：12种不同的寿命预测方法。B12是论文所提方法</w:t>
      </w:r>
    </w:p>
    <w:p w14:paraId="6E9EB71A" w14:textId="54DBE3D2" w:rsidR="00C20C0F" w:rsidRDefault="00C20C0F" w:rsidP="00C20C0F">
      <w:pPr>
        <w:rPr>
          <w:rFonts w:ascii="宋体" w:eastAsia="宋体" w:hAnsi="宋体" w:cs="Times New Roman" w:hint="eastAsia"/>
        </w:rPr>
      </w:pPr>
      <w:r>
        <w:rPr>
          <w:rFonts w:ascii="宋体" w:eastAsia="宋体" w:hAnsi="宋体" w:cs="Times New Roman" w:hint="eastAsia"/>
        </w:rPr>
        <w:t>B1、2是基于规则的判断方法</w:t>
      </w:r>
    </w:p>
    <w:p w14:paraId="65F221DC" w14:textId="03AA28C6" w:rsidR="00C20C0F" w:rsidRDefault="00C20C0F" w:rsidP="00C20C0F">
      <w:pPr>
        <w:rPr>
          <w:rFonts w:ascii="宋体" w:eastAsia="宋体" w:hAnsi="宋体" w:cs="Times New Roman" w:hint="eastAsia"/>
        </w:rPr>
      </w:pPr>
      <w:r>
        <w:rPr>
          <w:rFonts w:ascii="宋体" w:eastAsia="宋体" w:hAnsi="宋体" w:cs="Times New Roman" w:hint="eastAsia"/>
        </w:rPr>
        <w:t>B3、4、5、6是传统机器学习如SVM、Random Forest，类似于基于人工特征提取的分类器</w:t>
      </w:r>
    </w:p>
    <w:p w14:paraId="1C322D27" w14:textId="540394BA" w:rsidR="00C20C0F" w:rsidRDefault="00C20C0F" w:rsidP="00C20C0F">
      <w:pPr>
        <w:rPr>
          <w:rFonts w:ascii="宋体" w:eastAsia="宋体" w:hAnsi="宋体" w:cs="Times New Roman" w:hint="eastAsia"/>
        </w:rPr>
      </w:pPr>
      <w:r>
        <w:rPr>
          <w:rFonts w:ascii="宋体" w:eastAsia="宋体" w:hAnsi="宋体" w:cs="Times New Roman" w:hint="eastAsia"/>
        </w:rPr>
        <w:t>B7、8、9、10：普通深度网络，开始利用时序信息了</w:t>
      </w:r>
    </w:p>
    <w:p w14:paraId="0B2ED9CB" w14:textId="6257F7B9" w:rsidR="00C20C0F" w:rsidRDefault="00C20C0F" w:rsidP="00C20C0F">
      <w:pPr>
        <w:rPr>
          <w:rFonts w:ascii="宋体" w:eastAsia="宋体" w:hAnsi="宋体" w:cs="Times New Roman" w:hint="eastAsia"/>
        </w:rPr>
      </w:pPr>
      <w:r>
        <w:rPr>
          <w:rFonts w:ascii="宋体" w:eastAsia="宋体" w:hAnsi="宋体" w:cs="Times New Roman" w:hint="eastAsia"/>
        </w:rPr>
        <w:t xml:space="preserve">B11：Multi-task TCN -GRU </w:t>
      </w:r>
    </w:p>
    <w:p w14:paraId="4BB200E3" w14:textId="55B12D5B" w:rsidR="00E51F41" w:rsidRDefault="00E51F41" w:rsidP="00C20C0F">
      <w:pPr>
        <w:rPr>
          <w:rFonts w:ascii="宋体" w:eastAsia="宋体" w:hAnsi="宋体" w:cs="Times New Roman" w:hint="eastAsia"/>
        </w:rPr>
      </w:pPr>
      <w:r>
        <w:rPr>
          <w:rFonts w:ascii="宋体" w:eastAsia="宋体" w:hAnsi="宋体" w:cs="Times New Roman" w:hint="eastAsia"/>
        </w:rPr>
        <w:lastRenderedPageBreak/>
        <w:t>B12:DC-PSR</w:t>
      </w:r>
    </w:p>
    <w:p w14:paraId="0F2C2075" w14:textId="5093503A" w:rsidR="00E51F41" w:rsidRDefault="00E51F41" w:rsidP="00C20C0F">
      <w:pPr>
        <w:rPr>
          <w:rFonts w:ascii="宋体" w:eastAsia="宋体" w:hAnsi="宋体" w:cs="Times New Roman" w:hint="eastAsia"/>
        </w:rPr>
      </w:pPr>
      <w:r>
        <w:rPr>
          <w:rFonts w:ascii="宋体" w:eastAsia="宋体" w:hAnsi="宋体" w:cs="Times New Roman" w:hint="eastAsia"/>
        </w:rPr>
        <w:t>B11的方法是论文的神经网络主体，论文是在B11的基础上进一步加入了概率退化一致性机制：退化位置先验、middle两侧抑制、有序概率滤波、最终概率融合。</w:t>
      </w:r>
    </w:p>
    <w:p w14:paraId="5980B698" w14:textId="63CCE6E8" w:rsidR="00E51F41" w:rsidRDefault="00E51F41" w:rsidP="00C20C0F">
      <w:pPr>
        <w:rPr>
          <w:rFonts w:ascii="宋体" w:eastAsia="宋体" w:hAnsi="宋体" w:cs="Times New Roman" w:hint="eastAsia"/>
        </w:rPr>
      </w:pPr>
      <w:r>
        <w:rPr>
          <w:rFonts w:ascii="宋体" w:eastAsia="宋体" w:hAnsi="宋体" w:cs="Times New Roman" w:hint="eastAsia"/>
        </w:rPr>
        <w:t>现有的实验中，B11的分类准确率高于B12。B12主要优化的不是准确率，而是</w:t>
      </w:r>
      <w:r w:rsidRPr="00E51F41">
        <w:rPr>
          <w:rFonts w:ascii="宋体" w:eastAsia="宋体" w:hAnsi="宋体" w:cs="Times New Roman"/>
        </w:rPr>
        <w:t>在保持很高准确率的同时，</w:t>
      </w:r>
      <w:r>
        <w:rPr>
          <w:rFonts w:ascii="宋体" w:eastAsia="宋体" w:hAnsi="宋体" w:cs="Times New Roman" w:hint="eastAsia"/>
        </w:rPr>
        <w:t>论文所提方法的</w:t>
      </w:r>
      <w:r w:rsidRPr="00E51F41">
        <w:rPr>
          <w:rFonts w:ascii="宋体" w:eastAsia="宋体" w:hAnsi="宋体" w:cs="Times New Roman"/>
        </w:rPr>
        <w:t xml:space="preserve">阶段概率更平滑、更符合 </w:t>
      </w:r>
      <w:proofErr w:type="spellStart"/>
      <w:r w:rsidRPr="00E51F41">
        <w:rPr>
          <w:rFonts w:ascii="宋体" w:eastAsia="宋体" w:hAnsi="宋体" w:cs="Times New Roman"/>
        </w:rPr>
        <w:t>early→middle→late</w:t>
      </w:r>
      <w:proofErr w:type="spellEnd"/>
      <w:r w:rsidRPr="00E51F41">
        <w:rPr>
          <w:rFonts w:ascii="宋体" w:eastAsia="宋体" w:hAnsi="宋体" w:cs="Times New Roman"/>
        </w:rPr>
        <w:t xml:space="preserve"> 的物理演化</w:t>
      </w:r>
      <w:r w:rsidR="00F73B01">
        <w:rPr>
          <w:rFonts w:ascii="宋体" w:eastAsia="宋体" w:hAnsi="宋体" w:cs="Times New Roman" w:hint="eastAsia"/>
        </w:rPr>
        <w:t>。</w:t>
      </w:r>
    </w:p>
    <w:p w14:paraId="4DECD478" w14:textId="77777777" w:rsidR="00F73B01" w:rsidRDefault="00F73B01" w:rsidP="00C20C0F">
      <w:pPr>
        <w:rPr>
          <w:rFonts w:ascii="宋体" w:eastAsia="宋体" w:hAnsi="宋体" w:cs="Times New Roman" w:hint="eastAsia"/>
        </w:rPr>
      </w:pPr>
    </w:p>
    <w:p w14:paraId="3CFDA224" w14:textId="3FD1DB51" w:rsidR="00F73B01" w:rsidRPr="001E7825" w:rsidRDefault="00F73B01" w:rsidP="001E7825">
      <w:pPr>
        <w:jc w:val="center"/>
        <w:rPr>
          <w:rFonts w:ascii="黑体" w:eastAsia="黑体" w:hAnsi="黑体" w:cs="Times New Roman" w:hint="eastAsia"/>
        </w:rPr>
      </w:pPr>
      <w:r w:rsidRPr="001E7825">
        <w:rPr>
          <w:rFonts w:ascii="黑体" w:eastAsia="黑体" w:hAnsi="黑体" w:cs="Times New Roman" w:hint="eastAsia"/>
        </w:rPr>
        <w:t>消融实验分类</w:t>
      </w:r>
    </w:p>
    <w:p w14:paraId="5588F111" w14:textId="340659A2" w:rsidR="00F73B01" w:rsidRDefault="00F73B01" w:rsidP="00C20C0F">
      <w:pPr>
        <w:rPr>
          <w:rFonts w:ascii="宋体" w:eastAsia="宋体" w:hAnsi="宋体" w:cs="Times New Roman" w:hint="eastAsia"/>
        </w:rPr>
      </w:pPr>
      <w:r>
        <w:rPr>
          <w:rFonts w:ascii="宋体" w:eastAsia="宋体" w:hAnsi="宋体" w:cs="Times New Roman" w:hint="eastAsia"/>
        </w:rPr>
        <w:t>A1：最基础阶段分类</w:t>
      </w:r>
    </w:p>
    <w:p w14:paraId="697C7FD3" w14:textId="6D5A29CB" w:rsidR="00F73B01" w:rsidRDefault="00F73B01" w:rsidP="00C20C0F">
      <w:pPr>
        <w:rPr>
          <w:rFonts w:ascii="宋体" w:eastAsia="宋体" w:hAnsi="宋体" w:cs="Times New Roman" w:hint="eastAsia"/>
        </w:rPr>
      </w:pPr>
      <w:r>
        <w:rPr>
          <w:rFonts w:ascii="宋体" w:eastAsia="宋体" w:hAnsi="宋体" w:cs="Times New Roman" w:hint="eastAsia"/>
        </w:rPr>
        <w:t>A2/A3：逐步加入额外信息</w:t>
      </w:r>
    </w:p>
    <w:p w14:paraId="6D307FE2" w14:textId="75C53618" w:rsidR="00F73B01" w:rsidRDefault="00F73B01" w:rsidP="00C20C0F">
      <w:pPr>
        <w:rPr>
          <w:rFonts w:ascii="宋体" w:eastAsia="宋体" w:hAnsi="宋体" w:cs="Times New Roman" w:hint="eastAsia"/>
        </w:rPr>
      </w:pPr>
      <w:r>
        <w:rPr>
          <w:rFonts w:ascii="宋体" w:eastAsia="宋体" w:hAnsi="宋体" w:cs="Times New Roman" w:hint="eastAsia"/>
        </w:rPr>
        <w:t>A4：各种信息融合</w:t>
      </w:r>
    </w:p>
    <w:p w14:paraId="40129DC7" w14:textId="0F263318" w:rsidR="00F73B01" w:rsidRDefault="00F73B01" w:rsidP="00C20C0F">
      <w:pPr>
        <w:rPr>
          <w:rFonts w:ascii="宋体" w:eastAsia="宋体" w:hAnsi="宋体" w:cs="Times New Roman" w:hint="eastAsia"/>
        </w:rPr>
      </w:pPr>
      <w:r>
        <w:rPr>
          <w:rFonts w:ascii="宋体" w:eastAsia="宋体" w:hAnsi="宋体" w:cs="Times New Roman" w:hint="eastAsia"/>
        </w:rPr>
        <w:t>A5：加入有序滤波</w:t>
      </w:r>
    </w:p>
    <w:p w14:paraId="0359DAE8" w14:textId="3714BD11" w:rsidR="00F73B01" w:rsidRDefault="00F73B01" w:rsidP="00C20C0F">
      <w:pPr>
        <w:rPr>
          <w:rFonts w:ascii="宋体" w:eastAsia="宋体" w:hAnsi="宋体" w:cs="Times New Roman" w:hint="eastAsia"/>
        </w:rPr>
      </w:pPr>
      <w:r>
        <w:rPr>
          <w:rFonts w:ascii="宋体" w:eastAsia="宋体" w:hAnsi="宋体" w:cs="Times New Roman" w:hint="eastAsia"/>
        </w:rPr>
        <w:t>A6：完整的DC-PSR</w:t>
      </w:r>
    </w:p>
    <w:p w14:paraId="1A438653" w14:textId="77777777" w:rsidR="001E7825" w:rsidRDefault="001E7825" w:rsidP="00C20C0F">
      <w:pPr>
        <w:rPr>
          <w:rFonts w:ascii="宋体" w:eastAsia="宋体" w:hAnsi="宋体" w:cs="Times New Roman" w:hint="eastAsia"/>
        </w:rPr>
      </w:pPr>
    </w:p>
    <w:p w14:paraId="21765EA5" w14:textId="77777777" w:rsidR="001E7825" w:rsidRDefault="001E7825" w:rsidP="00C20C0F">
      <w:pPr>
        <w:rPr>
          <w:rFonts w:ascii="宋体" w:eastAsia="宋体" w:hAnsi="宋体" w:cs="Times New Roman" w:hint="eastAsia"/>
        </w:rPr>
      </w:pPr>
    </w:p>
    <w:p w14:paraId="546F5C8E" w14:textId="77777777" w:rsidR="001E7825" w:rsidRDefault="001E7825" w:rsidP="00C20C0F">
      <w:pPr>
        <w:rPr>
          <w:rFonts w:ascii="宋体" w:eastAsia="宋体" w:hAnsi="宋体" w:cs="Times New Roman" w:hint="eastAsia"/>
        </w:rPr>
      </w:pPr>
    </w:p>
    <w:p w14:paraId="2F4B4EAF" w14:textId="31EB3FBC" w:rsidR="001E7825" w:rsidRDefault="001E7825" w:rsidP="00C20C0F">
      <w:pPr>
        <w:rPr>
          <w:rFonts w:ascii="宋体" w:eastAsia="宋体" w:hAnsi="宋体" w:cs="Times New Roman" w:hint="eastAsia"/>
        </w:rPr>
      </w:pPr>
      <w:r>
        <w:rPr>
          <w:rFonts w:ascii="宋体" w:eastAsia="宋体" w:hAnsi="宋体" w:cs="Times New Roman" w:hint="eastAsia"/>
        </w:rPr>
        <w:t>符号定义：</w:t>
      </w:r>
    </w:p>
    <w:p w14:paraId="70CF8CFA" w14:textId="3FE44D9C" w:rsidR="001E7825" w:rsidRDefault="001E7825" w:rsidP="00C20C0F">
      <w:pPr>
        <w:rPr>
          <w:rFonts w:ascii="宋体" w:eastAsia="宋体" w:hAnsi="宋体" w:cs="Times New Roman" w:hint="eastAsia"/>
        </w:rPr>
      </w:pPr>
      <w:r>
        <w:rPr>
          <w:rFonts w:ascii="宋体" w:eastAsia="宋体" w:hAnsi="宋体" w:cs="Times New Roman" w:hint="eastAsia"/>
        </w:rPr>
        <w:t>VB：后刀面磨损量，可以真实测量的刀具磨损值，数据集的标签</w:t>
      </w:r>
    </w:p>
    <w:p w14:paraId="7F7B173A" w14:textId="3B7652F0" w:rsidR="001E7825" w:rsidRDefault="001E7825" w:rsidP="00C20C0F">
      <w:pPr>
        <w:rPr>
          <w:rFonts w:ascii="宋体" w:eastAsia="宋体" w:hAnsi="宋体" w:cs="Times New Roman" w:hint="eastAsia"/>
        </w:rPr>
      </w:pPr>
      <w:r>
        <w:rPr>
          <w:rFonts w:ascii="宋体" w:eastAsia="宋体" w:hAnsi="宋体" w:cs="Times New Roman" w:hint="eastAsia"/>
        </w:rPr>
        <w:t>q（0-1）：当前处于整段寿命周期的相对位置</w:t>
      </w:r>
      <w:r w:rsidRPr="001E7825">
        <w:rPr>
          <w:rFonts w:ascii="宋体" w:eastAsia="宋体" w:hAnsi="宋体" w:cs="Times New Roman" w:hint="eastAsia"/>
          <w:color w:val="FF0000"/>
        </w:rPr>
        <w:t>（注意这个是基于真实测量值获得的真实相对退化位置）</w:t>
      </w:r>
      <w:r>
        <w:rPr>
          <w:rFonts w:ascii="宋体" w:eastAsia="宋体" w:hAnsi="宋体" w:cs="Times New Roman" w:hint="eastAsia"/>
        </w:rPr>
        <w:t>，每个刀具测量的磨损量的意义是不一样的，同一个测量的VB值对不同的刀具来说，可能是在寿命的前期，也有可能已经到后期了。</w:t>
      </w:r>
    </w:p>
    <w:p w14:paraId="70B96A4F" w14:textId="67805C10" w:rsidR="001E7825" w:rsidRDefault="00C80AB9" w:rsidP="00C20C0F">
      <w:pPr>
        <w:rPr>
          <w:rFonts w:ascii="宋体" w:eastAsia="宋体" w:hAnsi="宋体" w:cs="Times New Roman" w:hint="eastAsia"/>
        </w:rPr>
      </w:pPr>
      <m:oMath>
        <m:acc>
          <m:accPr>
            <m:ctrlPr>
              <w:rPr>
                <w:rFonts w:ascii="Cambria Math" w:eastAsia="宋体" w:hAnsi="Cambria Math" w:cs="Times New Roman"/>
                <w:i/>
              </w:rPr>
            </m:ctrlPr>
          </m:accPr>
          <m:e>
            <m:r>
              <w:rPr>
                <w:rFonts w:ascii="Cambria Math" w:eastAsia="宋体" w:hAnsi="Cambria Math" w:cs="Times New Roman" w:hint="eastAsia"/>
              </w:rPr>
              <m:t>q</m:t>
            </m:r>
          </m:e>
        </m:acc>
      </m:oMath>
      <w:proofErr w:type="gramStart"/>
      <w:r w:rsidR="001E7825">
        <w:rPr>
          <w:rFonts w:ascii="宋体" w:eastAsia="宋体" w:hAnsi="宋体" w:cs="Times New Roman" w:hint="eastAsia"/>
        </w:rPr>
        <w:t>: 网络</w:t>
      </w:r>
      <w:proofErr w:type="gramEnd"/>
      <w:r w:rsidR="001E7825">
        <w:rPr>
          <w:rFonts w:ascii="宋体" w:eastAsia="宋体" w:hAnsi="宋体" w:cs="Times New Roman" w:hint="eastAsia"/>
        </w:rPr>
        <w:t>模型预测出来的相对退化位置。</w:t>
      </w:r>
    </w:p>
    <w:p w14:paraId="77199170" w14:textId="4D8F97DE" w:rsidR="001E7825" w:rsidRPr="00B23CD4" w:rsidRDefault="001E7825" w:rsidP="00C20C0F">
      <w:pPr>
        <w:rPr>
          <w:rFonts w:ascii="宋体" w:eastAsia="宋体" w:hAnsi="宋体" w:cs="Times New Roman" w:hint="eastAsia"/>
          <w:b/>
          <w:bCs/>
        </w:rPr>
      </w:pPr>
      <w:r w:rsidRPr="00B23CD4">
        <w:rPr>
          <w:rFonts w:ascii="宋体" w:eastAsia="宋体" w:hAnsi="宋体" w:cs="Times New Roman"/>
          <w:b/>
          <w:bCs/>
        </w:rPr>
        <w:t>论文基于q值去对寿命阶段进行分类，但不是固定阈值的分类，因为不同的工况下，这个阈值是会发生变化的。</w:t>
      </w:r>
      <w:r w:rsidRPr="00B23CD4">
        <w:rPr>
          <w:rFonts w:ascii="宋体" w:eastAsia="宋体" w:hAnsi="宋体" w:cs="Times New Roman"/>
          <w:b/>
          <w:bCs/>
          <w:color w:val="FF0000"/>
        </w:rPr>
        <w:t>因此论文提出要根据每个工况自身的相对退化位置q和局部磨损速度来判断所处寿命阶段。</w:t>
      </w:r>
    </w:p>
    <w:p w14:paraId="74434CD0" w14:textId="42879F3E" w:rsidR="001E7825" w:rsidRDefault="00B23CD4" w:rsidP="00C20C0F">
      <w:pPr>
        <w:rPr>
          <w:rFonts w:ascii="宋体" w:eastAsia="宋体" w:hAnsi="宋体" w:cs="Times New Roman"/>
        </w:rPr>
      </w:pPr>
      <w:r>
        <w:rPr>
          <w:rFonts w:ascii="宋体" w:eastAsia="宋体" w:hAnsi="宋体" w:cs="Times New Roman" w:hint="eastAsia"/>
        </w:rPr>
        <w:t>此外，论文认为middle阶段太宽，因此进一步将middle细分了三个阶段，形成最终分类</w:t>
      </w:r>
    </w:p>
    <w:p w14:paraId="2B5EBACB" w14:textId="398D73BB" w:rsidR="00B23CD4" w:rsidRPr="00C20C0F" w:rsidRDefault="00B23CD4" w:rsidP="00C20C0F">
      <w:pPr>
        <w:rPr>
          <w:rFonts w:ascii="宋体" w:eastAsia="宋体" w:hAnsi="宋体" w:cs="Times New Roman" w:hint="eastAsia"/>
        </w:rPr>
      </w:pPr>
      <w:r>
        <w:rPr>
          <w:noProof/>
        </w:rPr>
        <w:drawing>
          <wp:inline distT="0" distB="0" distL="0" distR="0" wp14:anchorId="029DB1CB" wp14:editId="075A689A">
            <wp:extent cx="984250" cy="520737"/>
            <wp:effectExtent l="0" t="0" r="6350" b="0"/>
            <wp:docPr id="2013584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84343" name=""/>
                    <pic:cNvPicPr/>
                  </pic:nvPicPr>
                  <pic:blipFill>
                    <a:blip r:embed="rId5"/>
                    <a:stretch>
                      <a:fillRect/>
                    </a:stretch>
                  </pic:blipFill>
                  <pic:spPr>
                    <a:xfrm>
                      <a:off x="0" y="0"/>
                      <a:ext cx="991291" cy="524462"/>
                    </a:xfrm>
                    <a:prstGeom prst="rect">
                      <a:avLst/>
                    </a:prstGeom>
                  </pic:spPr>
                </pic:pic>
              </a:graphicData>
            </a:graphic>
          </wp:inline>
        </w:drawing>
      </w:r>
    </w:p>
    <w:sectPr w:rsidR="00B23CD4" w:rsidRPr="00C20C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5A5"/>
    <w:rsid w:val="000E1500"/>
    <w:rsid w:val="001E7825"/>
    <w:rsid w:val="006B479B"/>
    <w:rsid w:val="007465A5"/>
    <w:rsid w:val="0096165E"/>
    <w:rsid w:val="00B23CD4"/>
    <w:rsid w:val="00C20C0F"/>
    <w:rsid w:val="00D577E0"/>
    <w:rsid w:val="00E51F41"/>
    <w:rsid w:val="00F73B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C0DDAA"/>
  <w15:chartTrackingRefBased/>
  <w15:docId w15:val="{E49C0F10-AF97-426F-B28F-468AC390D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465A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465A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465A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465A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465A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465A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465A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465A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465A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65A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465A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465A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465A5"/>
    <w:rPr>
      <w:rFonts w:cstheme="majorBidi"/>
      <w:color w:val="0F4761" w:themeColor="accent1" w:themeShade="BF"/>
      <w:sz w:val="28"/>
      <w:szCs w:val="28"/>
    </w:rPr>
  </w:style>
  <w:style w:type="character" w:customStyle="1" w:styleId="50">
    <w:name w:val="标题 5 字符"/>
    <w:basedOn w:val="a0"/>
    <w:link w:val="5"/>
    <w:uiPriority w:val="9"/>
    <w:semiHidden/>
    <w:rsid w:val="007465A5"/>
    <w:rPr>
      <w:rFonts w:cstheme="majorBidi"/>
      <w:color w:val="0F4761" w:themeColor="accent1" w:themeShade="BF"/>
      <w:sz w:val="24"/>
    </w:rPr>
  </w:style>
  <w:style w:type="character" w:customStyle="1" w:styleId="60">
    <w:name w:val="标题 6 字符"/>
    <w:basedOn w:val="a0"/>
    <w:link w:val="6"/>
    <w:uiPriority w:val="9"/>
    <w:semiHidden/>
    <w:rsid w:val="007465A5"/>
    <w:rPr>
      <w:rFonts w:cstheme="majorBidi"/>
      <w:b/>
      <w:bCs/>
      <w:color w:val="0F4761" w:themeColor="accent1" w:themeShade="BF"/>
    </w:rPr>
  </w:style>
  <w:style w:type="character" w:customStyle="1" w:styleId="70">
    <w:name w:val="标题 7 字符"/>
    <w:basedOn w:val="a0"/>
    <w:link w:val="7"/>
    <w:uiPriority w:val="9"/>
    <w:semiHidden/>
    <w:rsid w:val="007465A5"/>
    <w:rPr>
      <w:rFonts w:cstheme="majorBidi"/>
      <w:b/>
      <w:bCs/>
      <w:color w:val="595959" w:themeColor="text1" w:themeTint="A6"/>
    </w:rPr>
  </w:style>
  <w:style w:type="character" w:customStyle="1" w:styleId="80">
    <w:name w:val="标题 8 字符"/>
    <w:basedOn w:val="a0"/>
    <w:link w:val="8"/>
    <w:uiPriority w:val="9"/>
    <w:semiHidden/>
    <w:rsid w:val="007465A5"/>
    <w:rPr>
      <w:rFonts w:cstheme="majorBidi"/>
      <w:color w:val="595959" w:themeColor="text1" w:themeTint="A6"/>
    </w:rPr>
  </w:style>
  <w:style w:type="character" w:customStyle="1" w:styleId="90">
    <w:name w:val="标题 9 字符"/>
    <w:basedOn w:val="a0"/>
    <w:link w:val="9"/>
    <w:uiPriority w:val="9"/>
    <w:semiHidden/>
    <w:rsid w:val="007465A5"/>
    <w:rPr>
      <w:rFonts w:eastAsiaTheme="majorEastAsia" w:cstheme="majorBidi"/>
      <w:color w:val="595959" w:themeColor="text1" w:themeTint="A6"/>
    </w:rPr>
  </w:style>
  <w:style w:type="paragraph" w:styleId="a3">
    <w:name w:val="Title"/>
    <w:basedOn w:val="a"/>
    <w:next w:val="a"/>
    <w:link w:val="a4"/>
    <w:uiPriority w:val="10"/>
    <w:qFormat/>
    <w:rsid w:val="007465A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465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65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465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65A5"/>
    <w:pPr>
      <w:spacing w:before="160"/>
      <w:jc w:val="center"/>
    </w:pPr>
    <w:rPr>
      <w:i/>
      <w:iCs/>
      <w:color w:val="404040" w:themeColor="text1" w:themeTint="BF"/>
    </w:rPr>
  </w:style>
  <w:style w:type="character" w:customStyle="1" w:styleId="a8">
    <w:name w:val="引用 字符"/>
    <w:basedOn w:val="a0"/>
    <w:link w:val="a7"/>
    <w:uiPriority w:val="29"/>
    <w:rsid w:val="007465A5"/>
    <w:rPr>
      <w:i/>
      <w:iCs/>
      <w:color w:val="404040" w:themeColor="text1" w:themeTint="BF"/>
    </w:rPr>
  </w:style>
  <w:style w:type="paragraph" w:styleId="a9">
    <w:name w:val="List Paragraph"/>
    <w:basedOn w:val="a"/>
    <w:uiPriority w:val="34"/>
    <w:qFormat/>
    <w:rsid w:val="007465A5"/>
    <w:pPr>
      <w:ind w:left="720"/>
      <w:contextualSpacing/>
    </w:pPr>
  </w:style>
  <w:style w:type="character" w:styleId="aa">
    <w:name w:val="Intense Emphasis"/>
    <w:basedOn w:val="a0"/>
    <w:uiPriority w:val="21"/>
    <w:qFormat/>
    <w:rsid w:val="007465A5"/>
    <w:rPr>
      <w:i/>
      <w:iCs/>
      <w:color w:val="0F4761" w:themeColor="accent1" w:themeShade="BF"/>
    </w:rPr>
  </w:style>
  <w:style w:type="paragraph" w:styleId="ab">
    <w:name w:val="Intense Quote"/>
    <w:basedOn w:val="a"/>
    <w:next w:val="a"/>
    <w:link w:val="ac"/>
    <w:uiPriority w:val="30"/>
    <w:qFormat/>
    <w:rsid w:val="00746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465A5"/>
    <w:rPr>
      <w:i/>
      <w:iCs/>
      <w:color w:val="0F4761" w:themeColor="accent1" w:themeShade="BF"/>
    </w:rPr>
  </w:style>
  <w:style w:type="character" w:styleId="ad">
    <w:name w:val="Intense Reference"/>
    <w:basedOn w:val="a0"/>
    <w:uiPriority w:val="32"/>
    <w:qFormat/>
    <w:rsid w:val="007465A5"/>
    <w:rPr>
      <w:b/>
      <w:bCs/>
      <w:smallCaps/>
      <w:color w:val="0F4761" w:themeColor="accent1" w:themeShade="BF"/>
      <w:spacing w:val="5"/>
    </w:rPr>
  </w:style>
  <w:style w:type="character" w:styleId="ae">
    <w:name w:val="Placeholder Text"/>
    <w:basedOn w:val="a0"/>
    <w:uiPriority w:val="99"/>
    <w:semiHidden/>
    <w:rsid w:val="001E782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515</Words>
  <Characters>531</Characters>
  <Application>Microsoft Office Word</Application>
  <DocSecurity>0</DocSecurity>
  <Lines>24</Lines>
  <Paragraphs>31</Paragraphs>
  <ScaleCrop>false</ScaleCrop>
  <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BANGHAI#</dc:creator>
  <cp:keywords/>
  <dc:description/>
  <cp:lastModifiedBy>#ZHANG BANGHAI#</cp:lastModifiedBy>
  <cp:revision>4</cp:revision>
  <dcterms:created xsi:type="dcterms:W3CDTF">2026-08-14T08:52:00Z</dcterms:created>
  <dcterms:modified xsi:type="dcterms:W3CDTF">2026-08-14T12:06:00Z</dcterms:modified>
</cp:coreProperties>
</file>