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eastAsia="黑体"/>
          <w:b/>
          <w:sz w:val="40"/>
        </w:rPr>
        <w:t>第四章  实验设计与结果分析</w:t>
      </w:r>
    </w:p>
    <w:p>
      <w:pPr>
        <w:jc w:val="center"/>
      </w:pPr>
      <w:r>
        <w:rPr>
          <w:rFonts w:ascii="Times New Roman" w:hAnsi="Times New Roman" w:eastAsia="黑体"/>
          <w:color w:val="1F4E79"/>
          <w:sz w:val="26"/>
        </w:rPr>
        <w:t>中文详细重构稿 + “1张实验设计图 + 5张结果图”方案A</w:t>
      </w:r>
    </w:p>
    <w:p>
      <w:pPr>
        <w:jc w:val="center"/>
      </w:pPr>
      <w:r>
        <w:rPr>
          <w:color w:val="646464"/>
          <w:sz w:val="19"/>
        </w:rPr>
        <w:t>数据依据：wt_paper / diagnostic/fixed-preprocess-5seed / paper_data（冻结数据）</w:t>
      </w:r>
    </w:p>
    <w:tbl>
      <w:tblPr>
        <w:tblW w:type="auto" w:w="0"/>
        <w:jc w:val="center"/>
        <w:tblLayout w:type="autofit"/>
        <w:tblLook w:firstColumn="1" w:firstRow="1" w:lastColumn="0" w:lastRow="0" w:noHBand="0" w:noVBand="1" w:val="04A0"/>
      </w:tblPr>
      <w:tblGrid>
        <w:gridCol w:w="9745"/>
      </w:tblGrid>
      <w:tr>
        <w:tc>
          <w:tcPr>
            <w:tcW w:type="dxa" w:w="9745"/>
            <w:shd w:fill="F4F8FB"/>
            <w:tcMar>
              <w:top w:w="120" w:type="dxa"/>
              <w:start w:w="150" w:type="dxa"/>
              <w:bottom w:w="120" w:type="dxa"/>
              <w:end w:w="150" w:type="dxa"/>
            </w:tcMar>
          </w:tcPr>
          <w:p>
            <w:pPr>
              <w:spacing w:after="40"/>
            </w:pPr>
            <w:r>
              <w:rPr>
                <w:rFonts w:ascii="Times New Roman" w:hAnsi="Times New Roman" w:eastAsia="黑体"/>
                <w:b/>
                <w:color w:val="1F4E79"/>
                <w:sz w:val="21"/>
              </w:rPr>
              <w:t>本稿使用规则</w:t>
            </w:r>
          </w:p>
          <w:p>
            <w:pPr>
              <w:spacing w:line="300" w:lineRule="auto" w:after="0"/>
            </w:pPr>
            <w:r>
              <w:rPr>
                <w:rFonts w:ascii="Times New Roman" w:hAnsi="Times New Roman" w:eastAsia="宋体"/>
                <w:sz w:val="19"/>
              </w:rPr>
              <w:t>正文中的数值结论仅依据当前 paper_data 冻结数据。正文主图严格控制为 1 张实验设计图 + 5 张结果组图；其中前两张结果图偏规整、审稿友好，后三张结果图允许更强的视觉冲击。跨数据集部分不以单一聚合 Acc 作为 headline，而以任务内比较、相对增益、中期识别和轨迹一致性为主。</w:t>
            </w:r>
          </w:p>
        </w:tc>
      </w:tr>
    </w:tbl>
    <w:p>
      <w:pPr>
        <w:spacing w:after="0"/>
      </w:pPr>
    </w:p>
    <w:p>
      <w:r>
        <w:br w:type="page"/>
      </w:r>
    </w:p>
    <w:p>
      <w:pPr>
        <w:jc w:val="center"/>
      </w:pPr>
      <w:r>
        <w:rPr>
          <w:rFonts w:ascii="Times New Roman" w:hAnsi="Times New Roman" w:eastAsia="黑体"/>
          <w:b/>
          <w:sz w:val="32"/>
        </w:rPr>
        <w:t>第一部分  第四章中文正文草案</w:t>
      </w:r>
    </w:p>
    <w:p>
      <w:pPr>
        <w:pStyle w:val="Heading1"/>
      </w:pPr>
      <w:r>
        <w:t>4.1  实验设置与统一评价协议</w:t>
      </w:r>
    </w:p>
    <w:p>
      <w:pPr>
        <w:spacing w:line="324" w:lineRule="auto" w:after="80"/>
        <w:ind w:firstLine="420"/>
      </w:pPr>
      <w:r>
        <w:rPr>
          <w:rFonts w:ascii="Times New Roman" w:hAnsi="Times New Roman" w:eastAsia="宋体"/>
          <w:sz w:val="21"/>
        </w:rPr>
        <w:t>本章将原稿中分散的实验设置、总体对比、跨工况验证、消融实验与表示分析整合到同一章中。重构后的实验不再以大量独立单图逐项罗列结果，而是围绕“是否有效—是否稳健—为何有效—学到了什么”构建连续证据链。为保证可比性，后续所有图表均以冻结后的 paper_data 为唯一数据入口。</w:t>
      </w:r>
    </w:p>
    <w:p>
      <w:pPr>
        <w:pStyle w:val="Heading2"/>
      </w:pPr>
      <w:r>
        <w:t>4.1.1  数据集与实验任务</w:t>
      </w:r>
    </w:p>
    <w:p>
      <w:pPr>
        <w:spacing w:line="324" w:lineRule="auto" w:after="80"/>
        <w:ind w:firstLine="420"/>
      </w:pPr>
      <w:r>
        <w:rPr>
          <w:rFonts w:ascii="Times New Roman" w:hAnsi="Times New Roman" w:eastAsia="宋体"/>
          <w:sz w:val="21"/>
        </w:rPr>
        <w:t>实验采用三个数据集。PHM2010作为主实验数据集，用于核心方法比较、跨目标工况验证、消融实验与退化语义分析；NASA Milling用于验证在不同数据来源和较小样本跨案例任务下的可迁移趋势；第三个数据集采用 Multivariate time series data of milling processes with varying tool wear and machine tools（下文简称 MTW-CM），其数据托管于 Mendeley Data，包含 3 台机床、9 把刀具和 6418 个 HDF5 加工运行，用于进一步检验多机床条件下的迁移能力。</w:t>
      </w:r>
    </w:p>
    <w:p>
      <w:pPr>
        <w:spacing w:line="324" w:lineRule="auto" w:after="80"/>
        <w:ind w:firstLine="420"/>
      </w:pPr>
      <w:r>
        <w:rPr>
          <w:rFonts w:ascii="Times New Roman" w:hAnsi="Times New Roman" w:eastAsia="宋体"/>
          <w:sz w:val="21"/>
        </w:rPr>
        <w:t>PHM2010的主任务采用双源训练、目标工况留出测试。D1、D2和D3均在统一的 304-run 测试全集上评估，从而避免不同方法使用不同测试样本造成的偏差。第三数据集采用“两台机床训练、第三台机床测试”的跨机床设置，并在 D1-M、D2-M 和 D3-M 三个任务上进行验证。NASA则沿用其原始 N1–N4 跨案例划分。</w:t>
      </w:r>
    </w:p>
    <w:p>
      <w:pPr>
        <w:spacing w:after="0"/>
      </w:pP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cantSplit/>
          <w:tblHeader w:val="true"/>
        </w:trPr>
        <w:tc>
          <w:tcPr>
            <w:tcW w:type="dxa" w:w="1392"/>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数据集</w:t>
            </w:r>
          </w:p>
        </w:tc>
        <w:tc>
          <w:tcPr>
            <w:tcW w:type="dxa" w:w="1392"/>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正文角色</w:t>
            </w:r>
          </w:p>
        </w:tc>
        <w:tc>
          <w:tcPr>
            <w:tcW w:type="dxa" w:w="1392"/>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任务/工况</w:t>
            </w:r>
          </w:p>
        </w:tc>
        <w:tc>
          <w:tcPr>
            <w:tcW w:type="dxa" w:w="1392"/>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规模</w:t>
            </w:r>
          </w:p>
        </w:tc>
        <w:tc>
          <w:tcPr>
            <w:tcW w:type="dxa" w:w="1392"/>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磨损标签</w:t>
            </w:r>
          </w:p>
        </w:tc>
        <w:tc>
          <w:tcPr>
            <w:tcW w:type="dxa" w:w="1392"/>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迁移协议</w:t>
            </w:r>
          </w:p>
        </w:tc>
        <w:tc>
          <w:tcPr>
            <w:tcW w:type="dxa" w:w="1392"/>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正文重点</w:t>
            </w:r>
          </w:p>
        </w:tc>
      </w:tr>
      <w:tr>
        <w:trPr>
          <w:cantSplit/>
        </w:trPr>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PHM2010</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主实验</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D1/D2/D3；核心D1=C1+C4→C6</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945 source runs；D1 test=304</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VB + condition-relative stage</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双源训练，留一目标工况测试</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9方法主比较、稳健性、消融、语义</w:t>
            </w:r>
          </w:p>
        </w:tc>
      </w:tr>
      <w:tr>
        <w:trPr>
          <w:cantSplit/>
        </w:trPr>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NASA Milling</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外部验证</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原始N1–N4</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小样本 cross-case</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VB / stage</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原始跨案例任务</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B11→B12跨数据趋势</w:t>
            </w:r>
          </w:p>
        </w:tc>
      </w:tr>
      <w:tr>
        <w:trPr>
          <w:cantSplit/>
        </w:trPr>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MTW-CM</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第三数据集</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D1-M/D2-M/D3-M</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6418 HDF5 runs；3 machines；9 tools</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VB (μm) + relative stage</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两机训练、第三机测试</w:t>
            </w:r>
          </w:p>
        </w:tc>
        <w:tc>
          <w:tcPr>
            <w:tcW w:type="dxa" w:w="1392"/>
            <w:vAlign w:val="center"/>
            <w:tcMar>
              <w:top w:w="70" w:type="dxa"/>
              <w:start w:w="90" w:type="dxa"/>
              <w:bottom w:w="70" w:type="dxa"/>
              <w:end w:w="90" w:type="dxa"/>
            </w:tcMar>
          </w:tcPr>
          <w:p>
            <w:pPr>
              <w:spacing w:after="0" w:line="252" w:lineRule="auto"/>
            </w:pPr>
            <w:r>
              <w:rPr>
                <w:rFonts w:ascii="Times New Roman" w:hAnsi="Times New Roman" w:eastAsia="宋体"/>
                <w:sz w:val="16"/>
              </w:rPr>
              <w:t>多机床泛化、中期识别与轨迹稳定性</w:t>
            </w:r>
          </w:p>
        </w:tc>
      </w:tr>
    </w:tbl>
    <w:p>
      <w:pPr>
        <w:spacing w:before="60" w:after="120"/>
        <w:jc w:val="center"/>
      </w:pPr>
      <w:r>
        <w:rPr>
          <w:rFonts w:ascii="Times New Roman" w:hAnsi="Times New Roman" w:eastAsia="宋体"/>
          <w:b/>
          <w:sz w:val="19"/>
        </w:rPr>
        <w:t>表4-1  三个数据集及其在本文实验体系中的角色与迁移协议</w:t>
      </w:r>
    </w:p>
    <w:p>
      <w:pPr>
        <w:pStyle w:val="Heading2"/>
      </w:pPr>
      <w:r>
        <w:t>4.1.2  对比方法</w:t>
      </w:r>
    </w:p>
    <w:p>
      <w:pPr>
        <w:spacing w:line="324" w:lineRule="auto" w:after="80"/>
        <w:ind w:firstLine="420"/>
      </w:pPr>
      <w:r>
        <w:rPr>
          <w:rFonts w:ascii="Times New Roman" w:hAnsi="Times New Roman" w:eastAsia="宋体"/>
          <w:sz w:val="21"/>
        </w:rPr>
        <w:t>最终正文采用 8 个对比方法和本文 DC-PSR，共 9 种方法。三种通用/内部强基线为 RF、TCN-GRU 和 Multi-task TCN-GRU；五种文献方法为 HTT-Net（adapted）、Multi-source Attention、MTF-AViTK、Dynamic GIN + TGP 和 DP2Net-adapted。这样既保留经典机器学习与时序深度网络的控制基线，也覆盖 Transformer、多源注意力、ViT/KAN、动态图神经网络以及域泛化等不同技术路线。</w:t>
      </w:r>
    </w:p>
    <w:p>
      <w:pPr>
        <w:spacing w:line="324" w:lineRule="auto" w:after="80"/>
        <w:ind w:firstLine="420"/>
      </w:pPr>
      <w:r>
        <w:rPr>
          <w:rFonts w:ascii="Times New Roman" w:hAnsi="Times New Roman" w:eastAsia="宋体"/>
          <w:sz w:val="21"/>
        </w:rPr>
        <w:t>其中 Multi-task TCN-GRU 是最直接的结构前驱/骨干对照。因而，DC-PSR 与 Multi-task TCN-GRU 的比较不仅反映最终性能差异，也用于隔离“有序概率表示与退化一致性机制”本身所带来的增益。</w:t>
      </w:r>
    </w:p>
    <w:p>
      <w:pPr>
        <w:pStyle w:val="Heading2"/>
      </w:pPr>
      <w:r>
        <w:t>4.1.3  评价指标与统计口径</w:t>
      </w:r>
    </w:p>
    <w:p>
      <w:pPr>
        <w:spacing w:line="324" w:lineRule="auto" w:after="80"/>
        <w:ind w:firstLine="420"/>
      </w:pPr>
      <w:r>
        <w:rPr>
          <w:rFonts w:ascii="Times New Roman" w:hAnsi="Times New Roman" w:eastAsia="宋体"/>
          <w:sz w:val="21"/>
        </w:rPr>
        <w:t>评价指标分为两类。第一类衡量阶段识别能力，包括 Acc、Macro-F1、E-F1、M-F1、L-F1、M-Pre 和 M-Rec；第二类衡量退化状态演化质量，包括 M→E、M→L、Rev、Jump 和 Smooth。后者主要用于识别不合理的跨阶段跳转、阶段反转以及相邻加工运行间概率分布的剧烈抖动。</w:t>
      </w:r>
    </w:p>
    <w:p>
      <w:pPr>
        <w:spacing w:line="324" w:lineRule="auto" w:after="80"/>
        <w:ind w:firstLine="420"/>
      </w:pPr>
      <w:r>
        <w:rPr>
          <w:rFonts w:ascii="Times New Roman" w:hAnsi="Times New Roman" w:eastAsia="宋体"/>
          <w:sz w:val="21"/>
        </w:rPr>
        <w:t>PHM2010核心 D1 比较采用固定正式模型点估计并以 moving-block bootstrap 计算 95% 置信区间；D2/D3使用统一 304-run 测试全集上的固定预测结果进行任务内比较。跨数据集分析采用各数据集已有的权威聚合口径，因此正文不将三个数据集的绝对 Acc 直接混为一个总平均，而重点考察 B11→B12 后 M-F1、Smooth、Jump 等指标的变化方向。</w:t>
      </w:r>
    </w:p>
    <w:p>
      <w:pPr>
        <w:pStyle w:val="Heading2"/>
      </w:pPr>
      <w:r>
        <w:t>4.1.4  实验设计总览图</w:t>
      </w:r>
    </w:p>
    <w:p>
      <w:pPr>
        <w:spacing w:line="324" w:lineRule="auto" w:after="80"/>
        <w:ind w:firstLine="420"/>
      </w:pPr>
      <w:r>
        <w:rPr>
          <w:rFonts w:ascii="Times New Roman" w:hAnsi="Times New Roman" w:eastAsia="宋体"/>
          <w:sz w:val="21"/>
        </w:rPr>
        <w:t>图4-1作为本章唯一的实验设计图，应将原稿中较分散的数据采集、阶段特征和任务划分整合为一条统一流程：物理加工与传感；退化阶段与代表性信号；三个数据集；训练与测试任务；9种正式方法；分类与一致性评价。该图建议保留原稿蓝色标题、真实设备图和阶段特征图的风格，但下半部分协议区需更新为当前 3 个数据集、8 个对比方法和 A1–A6 消融体系。</w:t>
      </w:r>
    </w:p>
    <w:tbl>
      <w:tblPr>
        <w:tblW w:type="auto" w:w="0"/>
        <w:jc w:val="center"/>
        <w:tblLook w:firstColumn="1" w:firstRow="1" w:lastColumn="0" w:lastRow="0" w:noHBand="0" w:noVBand="1" w:val="04A0"/>
      </w:tblPr>
      <w:tblGrid>
        <w:gridCol w:w="9745"/>
      </w:tblGrid>
      <w:tr>
        <w:tc>
          <w:tcPr>
            <w:tcW w:type="dxa" w:w="9745"/>
            <w:shd w:fill="F7F7F7"/>
            <w:tcMar>
              <w:top w:w="180" w:type="dxa"/>
              <w:start w:w="220" w:type="dxa"/>
              <w:bottom w:w="180" w:type="dxa"/>
              <w:end w:w="220" w:type="dxa"/>
            </w:tcMar>
          </w:tcPr>
          <w:p>
            <w:pPr>
              <w:jc w:val="center"/>
            </w:pPr>
            <w:r>
              <w:rPr>
                <w:rFonts w:ascii="Times New Roman" w:hAnsi="Times New Roman" w:eastAsia="黑体"/>
                <w:b/>
                <w:color w:val="1F4E79"/>
                <w:sz w:val="22"/>
              </w:rPr>
              <w:t>【图4-1 插入位置：实验设计总览图】</w:t>
            </w:r>
          </w:p>
          <w:p>
            <w:pPr>
              <w:spacing w:after="20"/>
              <w:jc w:val="center"/>
            </w:pPr>
            <w:r>
              <w:rPr>
                <w:rFonts w:ascii="Times New Roman" w:hAnsi="Times New Roman" w:eastAsia="宋体"/>
                <w:sz w:val="18"/>
              </w:rPr>
              <w:t>建议沿用当前已确认的实验设计总图风格，不重新做成纯流程图。</w:t>
            </w:r>
          </w:p>
          <w:p>
            <w:pPr>
              <w:spacing w:after="20"/>
              <w:jc w:val="center"/>
            </w:pPr>
            <w:r>
              <w:rPr>
                <w:rFonts w:ascii="Times New Roman" w:hAnsi="Times New Roman" w:eastAsia="宋体"/>
                <w:sz w:val="18"/>
              </w:rPr>
              <w:t>核心视觉主线：加工/传感 → Early/Middle/Late 退化特征 → 三数据集与迁移任务 → 9方法对比/消融/语义分析。</w:t>
            </w:r>
          </w:p>
          <w:p>
            <w:pPr>
              <w:spacing w:after="20"/>
              <w:jc w:val="center"/>
            </w:pPr>
            <w:r>
              <w:rPr>
                <w:rFonts w:ascii="Times New Roman" w:hAnsi="Times New Roman" w:eastAsia="宋体"/>
                <w:sz w:val="18"/>
              </w:rPr>
              <w:t>正式绘图时替换本占位框。</w:t>
            </w:r>
          </w:p>
        </w:tc>
      </w:tr>
    </w:tbl>
    <w:p>
      <w:pPr>
        <w:spacing w:after="0"/>
      </w:pPr>
    </w:p>
    <w:p>
      <w:pPr>
        <w:spacing w:before="60" w:after="120"/>
        <w:jc w:val="center"/>
      </w:pPr>
      <w:r>
        <w:rPr>
          <w:rFonts w:ascii="Times New Roman" w:hAnsi="Times New Roman" w:eastAsia="宋体"/>
          <w:b/>
          <w:sz w:val="19"/>
        </w:rPr>
        <w:t>图4-1  数据采集、代表性退化特征与统一实验协议总览</w:t>
      </w:r>
    </w:p>
    <w:p>
      <w:pPr>
        <w:pStyle w:val="Heading1"/>
      </w:pPr>
      <w:r>
        <w:t>4.2  核心任务上的总体对比：竞争性识别与概率一致性</w:t>
      </w:r>
    </w:p>
    <w:p>
      <w:pPr>
        <w:spacing w:line="324" w:lineRule="auto" w:after="80"/>
        <w:ind w:firstLine="420"/>
      </w:pPr>
      <w:r>
        <w:rPr>
          <w:rFonts w:ascii="Times New Roman" w:hAnsi="Times New Roman" w:eastAsia="宋体"/>
          <w:sz w:val="21"/>
        </w:rPr>
        <w:t>首先在 PHM2010 核心任务 D1（C1+C4→C6）上比较 9 种方法。Multi-task TCN-GRU 在纯分类指标上达到最高水平，Acc、Macro-F1 和 M-F1 分别为 0.9901、0.9902 和 0.9882。DC-PSR 对应结果为 0.9868、0.9871 和 0.9844，与骨干网络的差异仅为 -0.33、-0.31 和 -0.39 个百分点，M-Rec则完全一致（0.9767）。DC-PSR 的 Acc、Macro-F1 和 M-F1 的 moving-block bootstrap 95%置信区间分别约为 [0.964,1.000]、[0.961,1.000] 和 [0.954,1.000]，与 Multi-task TCN-GRU 高度重叠。</w:t>
      </w:r>
    </w:p>
    <w:p>
      <w:pPr>
        <w:spacing w:line="324" w:lineRule="auto" w:after="80"/>
        <w:ind w:firstLine="420"/>
      </w:pPr>
      <w:r>
        <w:rPr>
          <w:rFonts w:ascii="Times New Roman" w:hAnsi="Times New Roman" w:eastAsia="宋体"/>
          <w:sz w:val="21"/>
        </w:rPr>
        <w:t>与上述轻微分类差异相比，概率轨迹质量出现了更明确的变化。DC-PSR 的 Smooth 为 0.01876，是 9 种方法中最低值，相比 Multi-task TCN-GRU 的 0.02359 降低约 20.5%。同时，D1上 DC-PSR 的 Rev=0、Jump=0、M→L=0，说明其没有出现跨生命周期反向跳转或中期直接跳入后期的异常事件。该结果支持本文的核心定位：DC-PSR并非以牺牲阶段识别能力换取形式上的平滑，而是在保持接近最优分类性能的同时，对概率演化施加了更稳定的结构约束。</w:t>
      </w:r>
    </w:p>
    <w:p>
      <w:pPr>
        <w:spacing w:line="324" w:lineRule="auto" w:after="80"/>
        <w:ind w:firstLine="420"/>
      </w:pPr>
      <w:r>
        <w:rPr>
          <w:rFonts w:ascii="Times New Roman" w:hAnsi="Times New Roman" w:eastAsia="宋体"/>
          <w:sz w:val="21"/>
        </w:rPr>
        <w:t>在其余方法中，RF和MTF-AViTK在D1上的分类表现也较强，Acc分别达到0.9770和0.9704；DP2Net-adapted处于中等水平，而HTT-Net、Multi-source Attention和Dynamic GIN + TGP在该任务上的结果更依赖具体结构与迁移条件。因此，正文不宜简单将比较方法分成“新方法一定优于传统方法”，而应强调不同方法在分类能力与退化一致性之间表现出不同的性能轮廓。</w:t>
      </w:r>
    </w:p>
    <w:tbl>
      <w:tblPr>
        <w:tblW w:type="auto" w:w="0"/>
        <w:jc w:val="center"/>
        <w:tblLook w:firstColumn="1" w:firstRow="1" w:lastColumn="0" w:lastRow="0" w:noHBand="0" w:noVBand="1" w:val="04A0"/>
      </w:tblPr>
      <w:tblGrid>
        <w:gridCol w:w="9745"/>
      </w:tblGrid>
      <w:tr>
        <w:tc>
          <w:tcPr>
            <w:tcW w:type="dxa" w:w="9745"/>
            <w:shd w:fill="F7F7F7"/>
            <w:tcMar>
              <w:top w:w="180" w:type="dxa"/>
              <w:start w:w="220" w:type="dxa"/>
              <w:bottom w:w="180" w:type="dxa"/>
              <w:end w:w="220" w:type="dxa"/>
            </w:tcMar>
          </w:tcPr>
          <w:p>
            <w:pPr>
              <w:jc w:val="center"/>
            </w:pPr>
            <w:r>
              <w:rPr>
                <w:rFonts w:ascii="Times New Roman" w:hAnsi="Times New Roman" w:eastAsia="黑体"/>
                <w:b/>
                <w:color w:val="1F4E79"/>
                <w:sz w:val="22"/>
              </w:rPr>
              <w:t>【图4-2 插入位置：核心任务性能景观图】</w:t>
            </w:r>
          </w:p>
          <w:p>
            <w:pPr>
              <w:spacing w:after="20"/>
              <w:jc w:val="center"/>
            </w:pPr>
            <w:r>
              <w:rPr>
                <w:rFonts w:ascii="Times New Roman" w:hAnsi="Times New Roman" w:eastAsia="宋体"/>
                <w:sz w:val="18"/>
              </w:rPr>
              <w:t>主体采用 Method × Metric 的归一化性能矩阵，而不是多张柱状图拼接。</w:t>
            </w:r>
          </w:p>
          <w:p>
            <w:pPr>
              <w:spacing w:after="20"/>
              <w:jc w:val="center"/>
            </w:pPr>
            <w:r>
              <w:rPr>
                <w:rFonts w:ascii="Times New Roman" w:hAnsi="Times New Roman" w:eastAsia="宋体"/>
                <w:sz w:val="18"/>
              </w:rPr>
              <w:t>右侧连接 Accuracy–Consistency Pareto / 散点视图；底部可放主要方法的95%CI带。</w:t>
            </w:r>
          </w:p>
          <w:p>
            <w:pPr>
              <w:spacing w:after="20"/>
              <w:jc w:val="center"/>
            </w:pPr>
            <w:r>
              <w:rPr>
                <w:rFonts w:ascii="Times New Roman" w:hAnsi="Times New Roman" w:eastAsia="宋体"/>
                <w:sz w:val="18"/>
              </w:rPr>
              <w:t>DC-PSR重点突出：分类接近最优、Smooth全局最优。</w:t>
            </w:r>
          </w:p>
        </w:tc>
      </w:tr>
    </w:tbl>
    <w:p>
      <w:pPr>
        <w:spacing w:after="0"/>
      </w:pPr>
    </w:p>
    <w:p>
      <w:pPr>
        <w:spacing w:before="60" w:after="120"/>
        <w:jc w:val="center"/>
      </w:pPr>
      <w:r>
        <w:rPr>
          <w:rFonts w:ascii="Times New Roman" w:hAnsi="Times New Roman" w:eastAsia="宋体"/>
          <w:b/>
          <w:sz w:val="19"/>
        </w:rPr>
        <w:t>图4-2  核心跨工况任务上9种方法的性能景观与准确性—一致性权衡</w:t>
      </w:r>
    </w:p>
    <w:p>
      <w:pPr>
        <w:pStyle w:val="Heading1"/>
      </w:pPr>
      <w:r>
        <w:t>4.3  跨目标工况稳健性与三数据集泛化</w:t>
      </w:r>
    </w:p>
    <w:p>
      <w:pPr>
        <w:spacing w:line="324" w:lineRule="auto" w:after="80"/>
        <w:ind w:firstLine="420"/>
      </w:pPr>
      <w:r>
        <w:rPr>
          <w:rFonts w:ascii="Times New Roman" w:hAnsi="Times New Roman" w:eastAsia="宋体"/>
          <w:sz w:val="21"/>
        </w:rPr>
        <w:t>进一步在 D1、D2 和 D3 上比较后可以看到，方法排名随目标工况发生明显变化，说明跨工况刀具磨损识别具有显著的 target-condition dependence，而不存在单一方法在所有目标工况上始终占优。例如，D1由Multi-task TCN-GRU和DC-PSR占据前列；D2中HTT-Net与Dynamic GIN + TGP在Acc/M-F1上更有优势；D3则Dynamic GIN + TGP表现最强。该现象说明，跨工况评价必须结合目标工况难度，而不能只用一个跨任务平均Acc概括全部结果。</w:t>
      </w:r>
    </w:p>
    <w:p>
      <w:pPr>
        <w:spacing w:line="324" w:lineRule="auto" w:after="80"/>
        <w:ind w:firstLine="420"/>
      </w:pPr>
      <w:r>
        <w:rPr>
          <w:rFonts w:ascii="Times New Roman" w:hAnsi="Times New Roman" w:eastAsia="宋体"/>
          <w:sz w:val="21"/>
        </w:rPr>
        <w:t>对于最重要的骨干对照 B11→B12，三项PHM任务呈现出清晰但非完全一致的权衡。D1中DC-PSR仅轻微降低分类指标，却将Smooth降低约20.5%；D2中Acc和M-F1分别仅下降约0.33和0.61个百分点，而Smooth进一步下降约6.6%；D3中DC-PSR反而将Acc、M-F1和M-Rec分别提高约0.66、1.10和1.80个百分点，但Smooth较B11略有增加。由此可见，DC-PSR的作用不是对所有工况施加相同幅度的收益，而是根据目标工况在识别能力和轨迹约束之间形成任务相关的权衡。</w:t>
      </w:r>
    </w:p>
    <w:p>
      <w:pPr>
        <w:spacing w:line="324" w:lineRule="auto" w:after="80"/>
        <w:ind w:firstLine="420"/>
      </w:pPr>
      <w:r>
        <w:rPr>
          <w:rFonts w:ascii="Times New Roman" w:hAnsi="Times New Roman" w:eastAsia="宋体"/>
          <w:sz w:val="21"/>
        </w:rPr>
        <w:t>跨数据集结果进一步说明了这一点。在NASA Milling的四个原始任务上，B12相对B11的Acc仅变化-0.74个百分点，但M-F1提高5.86个百分点，Smooth降低约35.0%，Jump由2.5减至1.25。在MTW-CM的三个跨机床任务上，B12的M-F1在D1-M、D2-M和D3-M中均高于B11；三任务平均M-F1提高10.04个百分点，Smooth降低23.9%，Jump平均由15.6降至2.73，降幅约82.5%。与此同时，MTW-CM的绝对Acc具有明显任务依赖性，因此本文不将其作为跨数据集唯一评价依据，而将“中期识别是否增强、概率轨迹是否更稳定”作为更具有一致性的跨数据集证据。</w:t>
      </w:r>
    </w:p>
    <w:p>
      <w:pPr>
        <w:spacing w:line="324" w:lineRule="auto" w:after="80"/>
        <w:ind w:firstLine="420"/>
      </w:pPr>
      <w:r>
        <w:rPr>
          <w:rFonts w:ascii="Times New Roman" w:hAnsi="Times New Roman" w:eastAsia="宋体"/>
          <w:sz w:val="21"/>
        </w:rPr>
        <w:t>上述结果意味着第三数据集并非用于证明本文方法在所有绝对指标上均占优，而是用于检验方法的机制性优势能否跨越数据来源和机床差异。现有数据表明，M-F1和轨迹稳定性增益在NASA及MTW-CM上仍保持相对一致的方向，这比单独强调某个较低的绝对Acc更能反映本文提出的退化一致性建模目标。</w:t>
      </w:r>
    </w:p>
    <w:tbl>
      <w:tblPr>
        <w:tblW w:type="auto" w:w="0"/>
        <w:jc w:val="center"/>
        <w:tblLook w:firstColumn="1" w:firstRow="1" w:lastColumn="0" w:lastRow="0" w:noHBand="0" w:noVBand="1" w:val="04A0"/>
      </w:tblPr>
      <w:tblGrid>
        <w:gridCol w:w="9745"/>
      </w:tblGrid>
      <w:tr>
        <w:tc>
          <w:tcPr>
            <w:tcW w:type="dxa" w:w="9745"/>
            <w:shd w:fill="F7F7F7"/>
            <w:tcMar>
              <w:top w:w="180" w:type="dxa"/>
              <w:start w:w="220" w:type="dxa"/>
              <w:bottom w:w="180" w:type="dxa"/>
              <w:end w:w="220" w:type="dxa"/>
            </w:tcMar>
          </w:tcPr>
          <w:p>
            <w:pPr>
              <w:jc w:val="center"/>
            </w:pPr>
            <w:r>
              <w:rPr>
                <w:rFonts w:ascii="Times New Roman" w:hAnsi="Times New Roman" w:eastAsia="黑体"/>
                <w:b/>
                <w:color w:val="1F4E79"/>
                <w:sz w:val="22"/>
              </w:rPr>
              <w:t>【图4-3 插入位置：跨目标工况与跨数据集泛化景观】</w:t>
            </w:r>
          </w:p>
          <w:p>
            <w:pPr>
              <w:spacing w:after="20"/>
              <w:jc w:val="center"/>
            </w:pPr>
            <w:r>
              <w:rPr>
                <w:rFonts w:ascii="Times New Roman" w:hAnsi="Times New Roman" w:eastAsia="宋体"/>
                <w:sz w:val="18"/>
              </w:rPr>
              <w:t>上部：D1/D2/D3 × 9方法的任务内归一化热力图/排名矩阵。</w:t>
            </w:r>
          </w:p>
          <w:p>
            <w:pPr>
              <w:spacing w:after="20"/>
              <w:jc w:val="center"/>
            </w:pPr>
            <w:r>
              <w:rPr>
                <w:rFonts w:ascii="Times New Roman" w:hAnsi="Times New Roman" w:eastAsia="宋体"/>
                <w:sz w:val="18"/>
              </w:rPr>
              <w:t>下部左：B11→B12在D1/D2/D3的paired-delta（M-F1、M-Rec、Smooth）。</w:t>
            </w:r>
          </w:p>
          <w:p>
            <w:pPr>
              <w:spacing w:after="20"/>
              <w:jc w:val="center"/>
            </w:pPr>
            <w:r>
              <w:rPr>
                <w:rFonts w:ascii="Times New Roman" w:hAnsi="Times New Roman" w:eastAsia="宋体"/>
                <w:sz w:val="18"/>
              </w:rPr>
              <w:t>下部右：PHM2010/NASA/MTW-CM 的跨数据集delta矩阵，突出M-F1、Smooth、Jump的方向一致性。</w:t>
            </w:r>
          </w:p>
        </w:tc>
      </w:tr>
    </w:tbl>
    <w:p>
      <w:pPr>
        <w:spacing w:after="0"/>
      </w:pPr>
    </w:p>
    <w:p>
      <w:pPr>
        <w:spacing w:before="60" w:after="120"/>
        <w:jc w:val="center"/>
      </w:pPr>
      <w:r>
        <w:rPr>
          <w:rFonts w:ascii="Times New Roman" w:hAnsi="Times New Roman" w:eastAsia="宋体"/>
          <w:b/>
          <w:sz w:val="19"/>
        </w:rPr>
        <w:t>图4-3  跨目标工况与跨数据集条件下的相对性能、骨干增益与轨迹稳定性</w:t>
      </w:r>
    </w:p>
    <w:p>
      <w:pPr>
        <w:pStyle w:val="Heading1"/>
      </w:pPr>
      <w:r>
        <w:t>4.4  模块贡献：从概率修正到最终融合的机制消融</w:t>
      </w:r>
    </w:p>
    <w:p>
      <w:pPr>
        <w:spacing w:line="324" w:lineRule="auto" w:after="80"/>
        <w:ind w:firstLine="420"/>
      </w:pPr>
      <w:r>
        <w:rPr>
          <w:rFonts w:ascii="Times New Roman" w:hAnsi="Times New Roman" w:eastAsia="宋体"/>
          <w:sz w:val="21"/>
        </w:rPr>
        <w:t>A1–A6消融实验在完全冻结的B11/B12模型与D1测试全集上进行。A1–A4的硬分类结果完全一致：Acc=0.9901、Macro-F1=0.9902、M-F1=0.9882、M-Rec=0.9767。这一现象并不意味着A2–A4没有作用，而是说明fine-state信息、q先验与加权融合首先改变的是概率分布形态，而不是argmax类别。其Smooth分别由A1的0.02359下降至A2的0.01991、A3的0.02086和A4的0.02053，即在保持分类结果不变的情况下实现了约11%–16%的概率轨迹平滑改善。</w:t>
      </w:r>
    </w:p>
    <w:p>
      <w:pPr>
        <w:spacing w:line="324" w:lineRule="auto" w:after="80"/>
        <w:ind w:firstLine="420"/>
      </w:pPr>
      <w:r>
        <w:rPr>
          <w:rFonts w:ascii="Times New Roman" w:hAnsi="Times New Roman" w:eastAsia="宋体"/>
          <w:sz w:val="21"/>
        </w:rPr>
        <w:t>A5在A4基础上加入因果有序滤波后，Smooth进一步降至0.01359，相比A1降低约42.4%，是全部配置中最强的平滑结果。但这一强约束同时使Acc和M-F1分别下降约1.32和1.57个百分点，M-Rec也有所下降，说明过强的有序约束会延迟阶段边界附近的响应。</w:t>
      </w:r>
    </w:p>
    <w:p>
      <w:pPr>
        <w:spacing w:line="324" w:lineRule="auto" w:after="80"/>
        <w:ind w:firstLine="420"/>
      </w:pPr>
      <w:r>
        <w:rPr>
          <w:rFonts w:ascii="Times New Roman" w:hAnsi="Times New Roman" w:eastAsia="宋体"/>
          <w:sz w:val="21"/>
        </w:rPr>
        <w:t>A6将A4的预测性输出与A5的有序输出进行最终融合后，Acc从A5的0.9770恢复至0.9868，M-F1从0.9725恢复至0.9844，M-Rec恢复至0.9767；与此同时，Smooth仍保持在0.01876，相比A1降低约20.5%。因此，A6的主要作用并非获得“最低Smooth”，而是在A5过度平滑与A4高识别能力之间建立更合理的折中。</w:t>
      </w:r>
    </w:p>
    <w:p>
      <w:pPr>
        <w:spacing w:line="324" w:lineRule="auto" w:after="80"/>
        <w:ind w:firstLine="420"/>
      </w:pPr>
      <w:r>
        <w:rPr>
          <w:rFonts w:ascii="Times New Roman" w:hAnsi="Times New Roman" w:eastAsia="宋体"/>
          <w:sz w:val="21"/>
        </w:rPr>
        <w:t>为了避免重新出现“4张单图拼成一张图”的问题，新的消融图应沿着A1→A6这一单一机制链组织：所有可视元素共享同一横轴和同一模块递进逻辑。顶部展示分类性能带，中部展示Middle-stage与transition一致性带，底部使用逐生命周期概率变化和累计变化曲线展示概率轨迹如何随模块逐步重塑。</w:t>
      </w:r>
    </w:p>
    <w:tbl>
      <w:tblPr>
        <w:tblW w:type="auto" w:w="0"/>
        <w:jc w:val="center"/>
        <w:tblLook w:firstColumn="1" w:firstRow="1" w:lastColumn="0" w:lastRow="0" w:noHBand="0" w:noVBand="1" w:val="04A0"/>
      </w:tblPr>
      <w:tblGrid>
        <w:gridCol w:w="9745"/>
      </w:tblGrid>
      <w:tr>
        <w:tc>
          <w:tcPr>
            <w:tcW w:type="dxa" w:w="9745"/>
            <w:shd w:fill="F7F7F7"/>
            <w:tcMar>
              <w:top w:w="180" w:type="dxa"/>
              <w:start w:w="220" w:type="dxa"/>
              <w:bottom w:w="180" w:type="dxa"/>
              <w:end w:w="220" w:type="dxa"/>
            </w:tcMar>
          </w:tcPr>
          <w:p>
            <w:pPr>
              <w:jc w:val="center"/>
            </w:pPr>
            <w:r>
              <w:rPr>
                <w:rFonts w:ascii="Times New Roman" w:hAnsi="Times New Roman" w:eastAsia="黑体"/>
                <w:b/>
                <w:color w:val="1F4E79"/>
                <w:sz w:val="22"/>
              </w:rPr>
              <w:t>【图4-4 插入位置：A1→A6机制演化带】</w:t>
            </w:r>
          </w:p>
          <w:p>
            <w:pPr>
              <w:spacing w:after="20"/>
              <w:jc w:val="center"/>
            </w:pPr>
            <w:r>
              <w:rPr>
                <w:rFonts w:ascii="Times New Roman" w:hAnsi="Times New Roman" w:eastAsia="宋体"/>
                <w:sz w:val="18"/>
              </w:rPr>
              <w:t>统一横轴：A1 → A2 → A3 → A4 → A5 → A6。</w:t>
            </w:r>
          </w:p>
          <w:p>
            <w:pPr>
              <w:spacing w:after="20"/>
              <w:jc w:val="center"/>
            </w:pPr>
            <w:r>
              <w:rPr>
                <w:rFonts w:ascii="Times New Roman" w:hAnsi="Times New Roman" w:eastAsia="宋体"/>
                <w:sz w:val="18"/>
              </w:rPr>
              <w:t>第一信息带：Acc / Macro-F1 / M-F1；第二信息带：M-Rec / M→E / M→L / Smooth。</w:t>
            </w:r>
          </w:p>
          <w:p>
            <w:pPr>
              <w:spacing w:after="20"/>
              <w:jc w:val="center"/>
            </w:pPr>
            <w:r>
              <w:rPr>
                <w:rFonts w:ascii="Times New Roman" w:hAnsi="Times New Roman" w:eastAsia="宋体"/>
                <w:sz w:val="18"/>
              </w:rPr>
              <w:t>第三信息带：A1–A6生命周期局部概率变化 + 累计变化，形成具有视觉冲击的“机制演化”图。</w:t>
            </w:r>
          </w:p>
        </w:tc>
      </w:tr>
    </w:tbl>
    <w:p>
      <w:pPr>
        <w:spacing w:after="0"/>
      </w:pPr>
    </w:p>
    <w:p>
      <w:pPr>
        <w:spacing w:before="60" w:after="120"/>
        <w:jc w:val="center"/>
      </w:pPr>
      <w:r>
        <w:rPr>
          <w:rFonts w:ascii="Times New Roman" w:hAnsi="Times New Roman" w:eastAsia="宋体"/>
          <w:b/>
          <w:sz w:val="19"/>
        </w:rPr>
        <w:t>图4-4  A1–A6模块递进对分类性能、阶段一致性和概率轨迹演化的影响</w:t>
      </w:r>
    </w:p>
    <w:p>
      <w:pPr>
        <w:pStyle w:val="Heading1"/>
      </w:pPr>
      <w:r>
        <w:t>4.5  有序退化语义：概率轨迹、连续退化位置与物理磨损</w:t>
      </w:r>
    </w:p>
    <w:p>
      <w:pPr>
        <w:spacing w:line="324" w:lineRule="auto" w:after="80"/>
        <w:ind w:firstLine="420"/>
      </w:pPr>
      <w:r>
        <w:rPr>
          <w:rFonts w:ascii="Times New Roman" w:hAnsi="Times New Roman" w:eastAsia="宋体"/>
          <w:sz w:val="21"/>
        </w:rPr>
        <w:t>在D1/C6的304个测试运行上，DC-PSR输出的三个阶段概率随生命周期呈现清晰的Early→Middle→Late转换。硬阶段预测中未出现Rev和Jump，说明离散阶段序列保持有序；在连续概率层面，主要概率重新分配集中在两个阶段切换区间附近，而非在整个生命周期内持续无规则振荡。</w:t>
      </w:r>
    </w:p>
    <w:p>
      <w:pPr>
        <w:spacing w:line="324" w:lineRule="auto" w:after="80"/>
        <w:ind w:firstLine="420"/>
      </w:pPr>
      <w:r>
        <w:rPr>
          <w:rFonts w:ascii="Times New Roman" w:hAnsi="Times New Roman" w:eastAsia="宋体"/>
          <w:sz w:val="21"/>
        </w:rPr>
        <w:t>连续退化位置q提供了比三分类标签更细粒度的退化刻画。当前冻结数据中，q_true与原始q_pred之间的统计关系为R²≈0.748、Spearman ρ≈0.963、MAE≈0.113。较高的Spearman相关系数说明模型能够较好保持退化顺序；同时，后期q_pred存在一定压缩，表明该回归头更适合解释相对退化排序，而不应被表述为绝对磨损值的精确回归器。</w:t>
      </w:r>
    </w:p>
    <w:p>
      <w:pPr>
        <w:spacing w:line="324" w:lineRule="auto" w:after="80"/>
        <w:ind w:firstLine="420"/>
      </w:pPr>
      <w:r>
        <w:rPr>
          <w:rFonts w:ascii="Times New Roman" w:hAnsi="Times New Roman" w:eastAsia="宋体"/>
          <w:sz w:val="21"/>
        </w:rPr>
        <w:t>这种概率/位置语义与真实物理磨损保持一致。按DC-PSR预测阶段分组后，Early、Middle和Late对应的平均后刀面磨损VB分别为100.55、126.29和205.46 μm，中位数分别为102.61、123.14和210.39 μm。Late阶段的平均VB约为Early阶段的2.04倍，体现出清晰的物理单调性。对应的q_true均值也由0.211逐步增加至0.363和0.829。</w:t>
      </w:r>
    </w:p>
    <w:p>
      <w:pPr>
        <w:spacing w:line="324" w:lineRule="auto" w:after="80"/>
        <w:ind w:firstLine="420"/>
      </w:pPr>
      <w:r>
        <w:rPr>
          <w:rFonts w:ascii="Times New Roman" w:hAnsi="Times New Roman" w:eastAsia="宋体"/>
          <w:sz w:val="21"/>
        </w:rPr>
        <w:t>因此，本节不把概率轨迹图、simplex图、q相关图和VB分布图视为彼此独立的四张图，而将它们设计成一条“同一生命周期在不同表示空间中的投影”：生命周期概率曲线提供时间视角，simplex提供概率几何视角，q-agreement提供连续位置视角，VB分布则提供物理锚点。</w:t>
      </w:r>
    </w:p>
    <w:tbl>
      <w:tblPr>
        <w:tblW w:type="auto" w:w="0"/>
        <w:jc w:val="center"/>
        <w:tblLook w:firstColumn="1" w:firstRow="1" w:lastColumn="0" w:lastRow="0" w:noHBand="0" w:noVBand="1" w:val="04A0"/>
      </w:tblPr>
      <w:tblGrid>
        <w:gridCol w:w="9745"/>
      </w:tblGrid>
      <w:tr>
        <w:tc>
          <w:tcPr>
            <w:tcW w:type="dxa" w:w="9745"/>
            <w:shd w:fill="F7F7F7"/>
            <w:tcMar>
              <w:top w:w="180" w:type="dxa"/>
              <w:start w:w="220" w:type="dxa"/>
              <w:bottom w:w="180" w:type="dxa"/>
              <w:end w:w="220" w:type="dxa"/>
            </w:tcMar>
          </w:tcPr>
          <w:p>
            <w:pPr>
              <w:jc w:val="center"/>
            </w:pPr>
            <w:r>
              <w:rPr>
                <w:rFonts w:ascii="Times New Roman" w:hAnsi="Times New Roman" w:eastAsia="黑体"/>
                <w:b/>
                <w:color w:val="1F4E79"/>
                <w:sz w:val="22"/>
              </w:rPr>
              <w:t>【图4-5 插入位置：有序退化语义主视觉图】</w:t>
            </w:r>
          </w:p>
          <w:p>
            <w:pPr>
              <w:spacing w:after="20"/>
              <w:jc w:val="center"/>
            </w:pPr>
            <w:r>
              <w:rPr>
                <w:rFonts w:ascii="Times New Roman" w:hAnsi="Times New Roman" w:eastAsia="宋体"/>
                <w:sz w:val="18"/>
              </w:rPr>
              <w:t>主轴：完整C6生命周期的 pE / pM / pL 与 q̂。</w:t>
            </w:r>
          </w:p>
          <w:p>
            <w:pPr>
              <w:spacing w:after="20"/>
              <w:jc w:val="center"/>
            </w:pPr>
            <w:r>
              <w:rPr>
                <w:rFonts w:ascii="Times New Roman" w:hAnsi="Times New Roman" w:eastAsia="宋体"/>
                <w:sz w:val="18"/>
              </w:rPr>
              <w:t>同一批样本通过视觉连线映射到 probability simplex；旁侧嵌入 q_true–q_pred 密度图。</w:t>
            </w:r>
          </w:p>
          <w:p>
            <w:pPr>
              <w:spacing w:after="20"/>
              <w:jc w:val="center"/>
            </w:pPr>
            <w:r>
              <w:rPr>
                <w:rFonts w:ascii="Times New Roman" w:hAnsi="Times New Roman" w:eastAsia="宋体"/>
                <w:sz w:val="18"/>
              </w:rPr>
              <w:t>最右端用 Early/Middle/Late 的 VB raincloud/violin 作为物理语义锚点。</w:t>
            </w:r>
          </w:p>
        </w:tc>
      </w:tr>
    </w:tbl>
    <w:p>
      <w:pPr>
        <w:spacing w:after="0"/>
      </w:pPr>
    </w:p>
    <w:p>
      <w:pPr>
        <w:spacing w:before="60" w:after="120"/>
        <w:jc w:val="center"/>
      </w:pPr>
      <w:r>
        <w:rPr>
          <w:rFonts w:ascii="Times New Roman" w:hAnsi="Times New Roman" w:eastAsia="宋体"/>
          <w:b/>
          <w:sz w:val="19"/>
        </w:rPr>
        <w:t>图4-5  生命周期中的有序阶段概率、连续退化位置与物理磨损语义</w:t>
      </w:r>
    </w:p>
    <w:p>
      <w:pPr>
        <w:pStyle w:val="Heading1"/>
      </w:pPr>
      <w:r>
        <w:t>4.6  共享退化流形与概率—退化位置的联合演化</w:t>
      </w:r>
    </w:p>
    <w:p>
      <w:pPr>
        <w:spacing w:line="324" w:lineRule="auto" w:after="80"/>
        <w:ind w:firstLine="420"/>
      </w:pPr>
      <w:r>
        <w:rPr>
          <w:rFonts w:ascii="Times New Roman" w:hAnsi="Times New Roman" w:eastAsia="宋体"/>
          <w:sz w:val="21"/>
        </w:rPr>
        <w:t>进一步分析304个C6测试样本的64维共享隐藏表示，可以观察模型是否在内部表示空间中形成与退化顺序一致的结构。为避免将原Fig.17和Fig.18机械拼接，本节采用“同一表示的几何视图 + 表面视图”作为统一设计逻辑：上半部分对同一PCA坐标分别按预测阶段、q和uncertainty着色，下半部分则将同一生命周期样本展开为阶段概率面和置信度面。</w:t>
      </w:r>
    </w:p>
    <w:p>
      <w:pPr>
        <w:spacing w:line="324" w:lineRule="auto" w:after="80"/>
        <w:ind w:firstLine="420"/>
      </w:pPr>
      <w:r>
        <w:rPr>
          <w:rFonts w:ascii="Times New Roman" w:hAnsi="Times New Roman" w:eastAsia="宋体"/>
          <w:sz w:val="21"/>
        </w:rPr>
        <w:t>从当前表示可视化看，Early、Middle和Late样本并非随机混杂，而是沿共享潜在空间形成有序的弯曲流形；当颜色由类别切换为q后，颜色沿流形方向连续变化，说明共享表示保留了连续退化信息而非只形成三个离散簇。uncertainty着色则可用于定位阶段边界附近的困难样本和预测不稳定区域。</w:t>
      </w:r>
    </w:p>
    <w:p>
      <w:pPr>
        <w:spacing w:line="324" w:lineRule="auto" w:after="80"/>
        <w:ind w:firstLine="420"/>
      </w:pPr>
      <w:r>
        <w:rPr>
          <w:rFonts w:ascii="Times New Roman" w:hAnsi="Times New Roman" w:eastAsia="宋体"/>
          <w:sz w:val="21"/>
        </w:rPr>
        <w:t>在联合表面视图中，三个阶段概率形成沿生命周期依次占优的高概率ridge；相邻阶段切换附近的最大概率下降，与q变化和高不确定性区域相互对应。该三维视图不作为新的定量指标，而用于展示“阶段概率—连续退化位置—置信度”三者如何在同一生命周期上联合演化。相比仅给出二维折线，该表示更直观地体现了DC-PSR所构建概率健康表示的结构性。</w:t>
      </w:r>
    </w:p>
    <w:tbl>
      <w:tblPr>
        <w:tblW w:type="auto" w:w="0"/>
        <w:jc w:val="center"/>
        <w:tblLook w:firstColumn="1" w:firstRow="1" w:lastColumn="0" w:lastRow="0" w:noHBand="0" w:noVBand="1" w:val="04A0"/>
      </w:tblPr>
      <w:tblGrid>
        <w:gridCol w:w="9745"/>
      </w:tblGrid>
      <w:tr>
        <w:tc>
          <w:tcPr>
            <w:tcW w:type="dxa" w:w="9745"/>
            <w:shd w:fill="F7F7F7"/>
            <w:tcMar>
              <w:top w:w="180" w:type="dxa"/>
              <w:start w:w="220" w:type="dxa"/>
              <w:bottom w:w="180" w:type="dxa"/>
              <w:end w:w="220" w:type="dxa"/>
            </w:tcMar>
          </w:tcPr>
          <w:p>
            <w:pPr>
              <w:jc w:val="center"/>
            </w:pPr>
            <w:r>
              <w:rPr>
                <w:rFonts w:ascii="Times New Roman" w:hAnsi="Times New Roman" w:eastAsia="黑体"/>
                <w:b/>
                <w:color w:val="1F4E79"/>
                <w:sz w:val="22"/>
              </w:rPr>
              <w:t>【图4-6 插入位置：共享流形与联合演化视觉图】</w:t>
            </w:r>
          </w:p>
          <w:p>
            <w:pPr>
              <w:spacing w:after="20"/>
              <w:jc w:val="center"/>
            </w:pPr>
            <w:r>
              <w:rPr>
                <w:rFonts w:ascii="Times New Roman" w:hAnsi="Times New Roman" w:eastAsia="宋体"/>
                <w:sz w:val="18"/>
              </w:rPr>
              <w:t>上部3视图：同一PCA坐标分别按 Stage / q / Uncertainty 着色（原Fig.17风格升级）。</w:t>
            </w:r>
          </w:p>
          <w:p>
            <w:pPr>
              <w:spacing w:after="20"/>
              <w:jc w:val="center"/>
            </w:pPr>
            <w:r>
              <w:rPr>
                <w:rFonts w:ascii="Times New Roman" w:hAnsi="Times New Roman" w:eastAsia="宋体"/>
                <w:sz w:val="18"/>
              </w:rPr>
              <w:t>下部2个3D视图：Stage probability surface + Confidence surface over q（保留原Fig.18视觉冲击）。</w:t>
            </w:r>
          </w:p>
          <w:p>
            <w:pPr>
              <w:spacing w:after="20"/>
              <w:jc w:val="center"/>
            </w:pPr>
            <w:r>
              <w:rPr>
                <w:rFonts w:ascii="Times New Roman" w:hAnsi="Times New Roman" w:eastAsia="宋体"/>
                <w:sz w:val="18"/>
              </w:rPr>
              <w:t>五个视图共享同一生命周期配色与关键样本标记，避免“硬拼接”。</w:t>
            </w:r>
          </w:p>
        </w:tc>
      </w:tr>
    </w:tbl>
    <w:p>
      <w:pPr>
        <w:spacing w:after="0"/>
      </w:pPr>
    </w:p>
    <w:p>
      <w:pPr>
        <w:spacing w:before="60" w:after="120"/>
        <w:jc w:val="center"/>
      </w:pPr>
      <w:r>
        <w:rPr>
          <w:rFonts w:ascii="Times New Roman" w:hAnsi="Times New Roman" w:eastAsia="宋体"/>
          <w:b/>
          <w:sz w:val="19"/>
        </w:rPr>
        <w:t>图4-6  共享退化流形以及阶段概率、退化位置和置信度的联合演化</w:t>
      </w:r>
    </w:p>
    <w:p>
      <w:pPr>
        <w:pStyle w:val="Heading1"/>
      </w:pPr>
      <w:r>
        <w:t>4.7  本章小结</w:t>
      </w:r>
    </w:p>
    <w:p>
      <w:pPr>
        <w:spacing w:line="324" w:lineRule="auto" w:after="80"/>
        <w:ind w:firstLine="420"/>
      </w:pPr>
      <w:r>
        <w:rPr>
          <w:rFonts w:ascii="Times New Roman" w:hAnsi="Times New Roman" w:eastAsia="宋体"/>
          <w:sz w:val="21"/>
        </w:rPr>
        <w:t>重构后的实验章节通过1张实验设计图和5张结果组图形成完整证据链。核心D1结果表明，DC-PSR仅以不到0.4个百分点的分类差异换取约20.5%的Smooth改善，并保持零Rev/Jump；跨工况和跨数据集结果表明，这种收益具有明显的目标工况依赖性，但M-F1与轨迹稳定性改善在NASA和MTW-CM中仍呈现较一致的方向；消融实验进一步证明，fine-state、q先验、有序滤波和最终融合主要作用在概率轨迹层，而最终A6用于恢复A5过强平滑导致的分类损失；语义和表示分析则说明模型输出与真实VB以及连续退化顺序具有明确联系。</w:t>
      </w:r>
    </w:p>
    <w:p>
      <w:pPr>
        <w:spacing w:line="324" w:lineRule="auto" w:after="80"/>
        <w:ind w:firstLine="420"/>
      </w:pPr>
      <w:r>
        <w:rPr>
          <w:rFonts w:ascii="Times New Roman" w:hAnsi="Times New Roman" w:eastAsia="宋体"/>
          <w:sz w:val="21"/>
        </w:rPr>
        <w:t>因此，正文叙事不应包装成“DC-PSR在所有任务、所有指标上绝对最优”，而应强调其更有辨识度的贡献：在具有竞争力的阶段识别能力基础上，构造更连续、更有序且具有物理磨损语义的概率退化状态表示。这样的写法与当前冻结数据一致，也更能解释为什么在个别困难目标工况上即使绝对Acc不占优，方法仍然具有研究价值。</w:t>
      </w:r>
    </w:p>
    <w:p>
      <w:r>
        <w:br w:type="page"/>
      </w:r>
    </w:p>
    <w:p>
      <w:pPr>
        <w:jc w:val="center"/>
      </w:pPr>
      <w:r>
        <w:rPr>
          <w:rFonts w:ascii="Times New Roman" w:hAnsi="Times New Roman" w:eastAsia="黑体"/>
          <w:b/>
          <w:sz w:val="32"/>
        </w:rPr>
        <w:t>第二部分  方案A：6张组图的详细设计、数据来源与结论</w:t>
      </w:r>
    </w:p>
    <w:tbl>
      <w:tblPr>
        <w:tblW w:type="auto" w:w="0"/>
        <w:jc w:val="center"/>
        <w:tblLayout w:type="autofit"/>
        <w:tblLook w:firstColumn="1" w:firstRow="1" w:lastColumn="0" w:lastRow="0" w:noHBand="0" w:noVBand="1" w:val="04A0"/>
      </w:tblPr>
      <w:tblGrid>
        <w:gridCol w:w="9745"/>
      </w:tblGrid>
      <w:tr>
        <w:tc>
          <w:tcPr>
            <w:tcW w:type="dxa" w:w="9745"/>
            <w:shd w:fill="F4F8FB"/>
            <w:tcMar>
              <w:top w:w="120" w:type="dxa"/>
              <w:start w:w="150" w:type="dxa"/>
              <w:bottom w:w="120" w:type="dxa"/>
              <w:end w:w="150" w:type="dxa"/>
            </w:tcMar>
          </w:tcPr>
          <w:p>
            <w:pPr>
              <w:spacing w:after="40"/>
            </w:pPr>
            <w:r>
              <w:rPr>
                <w:rFonts w:ascii="Times New Roman" w:hAnsi="Times New Roman" w:eastAsia="黑体"/>
                <w:b/>
                <w:color w:val="1F4E79"/>
                <w:sz w:val="21"/>
              </w:rPr>
              <w:t>方案A的图形原则</w:t>
            </w:r>
          </w:p>
          <w:p>
            <w:pPr>
              <w:spacing w:line="300" w:lineRule="auto" w:after="0"/>
            </w:pPr>
            <w:r>
              <w:rPr>
                <w:rFonts w:ascii="Times New Roman" w:hAnsi="Times New Roman" w:eastAsia="宋体"/>
                <w:sz w:val="19"/>
              </w:rPr>
              <w:t>总计1张实验设计图 + 5张结果图。图4-2和图4-3采用规整、审稿友好的矩阵/热力图语言；图4-4开始增强视觉设计；图4-5和图4-6作为两张主打视觉图，其中图4-6保留原Fig.17彩色点云与Fig.18三维表面的视觉冲击。所有子图必须共享同一科学问题和视觉编码，避免把旧单图机械拼接。</w:t>
            </w:r>
          </w:p>
        </w:tc>
      </w:tr>
    </w:tbl>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新图</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章节作用</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核心问题</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视觉类型</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视觉冲击</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主要数据入口</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图4-1</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实验设计</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实验如何构建？</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设备/信号/协议一体化信息图</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dataset_table + methods + protocol</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图4-2</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主比较</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9种方法各自擅长什么？</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性能矩阵 + Pareto + CI带</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fig1/D1_main_metrics</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图4-3</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稳健性/泛化</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换工况/数据集后趋势是否稳定？</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任务热力图 + paired delta</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fig2 + fig3</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图4-4</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消融机制</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A1→A6究竟改变了什么？</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机制演化带 + 生命周期曲线</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fig4</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图4-5</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退化语义</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概率是否有序且有物理意义？</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生命周期 + simplex + q + VB</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fig5 lifecycle/simplex/q/wear</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图4-6</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表示几何</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内部表示和联合概率面是什么结构？</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彩色流形 + 3D surfaces</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7"/>
              </w:rPr>
              <w:t>fig5 hidden + lifecycle</w:t>
            </w:r>
          </w:p>
        </w:tc>
      </w:tr>
    </w:tbl>
    <w:p>
      <w:pPr>
        <w:spacing w:before="60" w:after="120"/>
        <w:jc w:val="center"/>
      </w:pPr>
      <w:r>
        <w:rPr>
          <w:rFonts w:ascii="Times New Roman" w:hAnsi="Times New Roman" w:eastAsia="宋体"/>
          <w:b/>
          <w:sz w:val="19"/>
        </w:rPr>
        <w:t>表A-1  新版实验组图的角色分工与数据入口</w:t>
      </w:r>
    </w:p>
    <w:p>
      <w:pPr>
        <w:pStyle w:val="Heading1"/>
      </w:pPr>
      <w:r>
        <w:t>图4-1  实验设计总览：数据、退化特征与统一协议</w:t>
      </w:r>
    </w:p>
    <w:p>
      <w:pPr>
        <w:spacing w:line="324" w:lineRule="auto" w:after="80"/>
        <w:ind w:firstLine="420"/>
      </w:pPr>
      <w:r>
        <w:rPr>
          <w:rFonts w:ascii="Times New Roman" w:hAnsi="Times New Roman" w:eastAsia="宋体"/>
          <w:sz w:val="21"/>
        </w:rPr>
        <w:t>保留原稿Fig.5–7的优秀视觉风格，但不要简单把原图左右拼接；应使用贯穿全图的“物理过程→数据→任务→评估”箭头主线。</w:t>
      </w:r>
    </w:p>
    <w:p>
      <w:pPr>
        <w:jc w:val="center"/>
      </w:pPr>
      <w:r>
        <w:rPr>
          <w:rFonts w:ascii="Times New Roman" w:hAnsi="Times New Roman" w:eastAsia="黑体"/>
          <w:b/>
          <w:sz w:val="20"/>
        </w:rPr>
        <w:t>建议版式草图（仅表示信息结构，不代表最终美术布局）</w:t>
      </w:r>
    </w:p>
    <w:tbl>
      <w:tblPr>
        <w:tblW w:type="auto" w:w="0"/>
        <w:jc w:val="center"/>
        <w:tblLayout w:type="fixed"/>
        <w:tblLook w:firstColumn="1" w:firstRow="1" w:lastColumn="0" w:lastRow="0" w:noHBand="0" w:noVBand="1" w:val="04A0"/>
      </w:tblPr>
      <w:tblGrid>
        <w:gridCol w:w="4872"/>
        <w:gridCol w:w="4872"/>
      </w:tblGrid>
      <w:tr>
        <w:tc>
          <w:tcPr>
            <w:tcW w:type="dxa" w:w="4872"/>
            <w:tcMar>
              <w:top w:w="150" w:type="dxa"/>
              <w:start w:w="100" w:type="dxa"/>
              <w:bottom w:w="150" w:type="dxa"/>
              <w:end w:w="100" w:type="dxa"/>
            </w:tcMar>
            <w:shd w:fill="EAF3F8"/>
          </w:tcPr>
          <w:p>
            <w:pPr>
              <w:jc w:val="center"/>
            </w:pPr>
            <w:r>
              <w:rPr>
                <w:rFonts w:ascii="Times New Roman" w:hAnsi="Times New Roman" w:eastAsia="宋体"/>
                <w:b/>
                <w:sz w:val="17"/>
              </w:rPr>
              <w:t>(a) 物理加工/传感</w:t>
            </w:r>
          </w:p>
        </w:tc>
        <w:tc>
          <w:tcPr>
            <w:tcW w:type="dxa" w:w="4872"/>
            <w:tcMar>
              <w:top w:w="150" w:type="dxa"/>
              <w:start w:w="100" w:type="dxa"/>
              <w:bottom w:w="150" w:type="dxa"/>
              <w:end w:w="100" w:type="dxa"/>
            </w:tcMar>
            <w:shd w:fill="E8F4F0"/>
          </w:tcPr>
          <w:p>
            <w:pPr>
              <w:jc w:val="center"/>
            </w:pPr>
            <w:r>
              <w:rPr>
                <w:rFonts w:ascii="Times New Roman" w:hAnsi="Times New Roman" w:eastAsia="宋体"/>
                <w:b/>
                <w:sz w:val="17"/>
              </w:rPr>
              <w:t>(b) Early–Middle–Late代表特征</w:t>
            </w:r>
          </w:p>
        </w:tc>
      </w:tr>
      <w:tr>
        <w:tc>
          <w:tcPr>
            <w:tcW w:type="dxa" w:w="4872"/>
            <w:tcMar>
              <w:top w:w="150" w:type="dxa"/>
              <w:start w:w="100" w:type="dxa"/>
              <w:bottom w:w="150" w:type="dxa"/>
              <w:end w:w="100" w:type="dxa"/>
            </w:tcMar>
            <w:shd w:fill="E8F4F0"/>
          </w:tcPr>
          <w:p>
            <w:pPr>
              <w:jc w:val="center"/>
            </w:pPr>
            <w:r>
              <w:rPr>
                <w:rFonts w:ascii="Times New Roman" w:hAnsi="Times New Roman" w:eastAsia="宋体"/>
                <w:b/>
                <w:sz w:val="17"/>
              </w:rPr>
              <w:t>(c) 三数据集/迁移任务/9方法/评价指标</w:t>
            </w:r>
          </w:p>
        </w:tc>
        <w:tc>
          <w:tcPr>
            <w:tcW w:type="dxa" w:w="4872"/>
            <w:tcMar>
              <w:top w:w="150" w:type="dxa"/>
              <w:start w:w="100" w:type="dxa"/>
              <w:bottom w:w="150" w:type="dxa"/>
              <w:end w:w="100" w:type="dxa"/>
            </w:tcMar>
            <w:shd w:fill="FFF2CC"/>
          </w:tcPr>
          <w:p>
            <w:pPr>
              <w:jc w:val="center"/>
            </w:pPr>
            <w:r>
              <w:rPr>
                <w:rFonts w:ascii="Times New Roman" w:hAnsi="Times New Roman" w:eastAsia="宋体"/>
                <w:b/>
                <w:sz w:val="17"/>
              </w:rPr>
              <w:t>(c) 协议主流程贯穿全宽</w:t>
            </w:r>
          </w:p>
        </w:tc>
      </w:tr>
    </w:tbl>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子图</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建议形式</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现有数据源</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关键字段/处理</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由现有数据支持的结论</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正文中的作用</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真实设备图 + 传感器标注 + 小型刀具磨损inset</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原稿实验平台图；paper_data/08_table_ready/dataset_table.csv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保留Cutter/AE/accelerometer/dynamometer/workpiece等原信息；不引入新数据</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实验任务来自真实铣削监测与多源信号，不是抽象benchmark</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建立物理问题背景</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Early/Middle/Late三列：磨损形貌+代表信号/频谱</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原稿阶段特征图 + 现有VB/stage定义</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三阶段采用统一配色：Early蓝、Middle青/金、Late橙红</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阶段划分具有真实磨损与信号变化基础</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解释为什么采用三阶段退化表示</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(c)</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统一流程信息图</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dataset_table.csv；methods.csv；paper_data/README/protocol</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展示PHM D1/D2/D3、NASA N1–N4、MTW D1-M/D2-M/D3-M；9方法；A1–A6</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实验覆盖核心比较、目标工况变化、跨数据集、消融与语义五层证据</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让审稿人一眼理解整章实验</w:t>
            </w:r>
          </w:p>
        </w:tc>
      </w:tr>
    </w:tbl>
    <w:p>
      <w:pPr>
        <w:spacing w:before="60" w:after="120"/>
        <w:jc w:val="center"/>
      </w:pPr>
      <w:r>
        <w:rPr>
          <w:rFonts w:ascii="Times New Roman" w:hAnsi="Times New Roman" w:eastAsia="宋体"/>
          <w:b/>
          <w:sz w:val="19"/>
        </w:rPr>
        <w:t>图4-1 子图设计与数据证据映射</w:t>
      </w:r>
    </w:p>
    <w:tbl>
      <w:tblPr>
        <w:tblW w:type="auto" w:w="0"/>
        <w:jc w:val="center"/>
        <w:tblLayout w:type="autofit"/>
        <w:tblLook w:firstColumn="1" w:firstRow="1" w:lastColumn="0" w:lastRow="0" w:noHBand="0" w:noVBand="1" w:val="04A0"/>
      </w:tblPr>
      <w:tblGrid>
        <w:gridCol w:w="9745"/>
      </w:tblGrid>
      <w:tr>
        <w:tc>
          <w:tcPr>
            <w:tcW w:type="dxa" w:w="9745"/>
            <w:shd w:fill="F9F4EA"/>
            <w:tcMar>
              <w:top w:w="120" w:type="dxa"/>
              <w:start w:w="150" w:type="dxa"/>
              <w:bottom w:w="120" w:type="dxa"/>
              <w:end w:w="150" w:type="dxa"/>
            </w:tcMar>
          </w:tcPr>
          <w:p>
            <w:pPr>
              <w:spacing w:after="40"/>
            </w:pPr>
            <w:r>
              <w:rPr>
                <w:rFonts w:ascii="Times New Roman" w:hAnsi="Times New Roman" w:eastAsia="黑体"/>
                <w:b/>
                <w:color w:val="1F4E79"/>
                <w:sz w:val="21"/>
              </w:rPr>
              <w:t>Caption 草案</w:t>
            </w:r>
          </w:p>
          <w:p>
            <w:pPr>
              <w:spacing w:line="300" w:lineRule="auto" w:after="0"/>
            </w:pPr>
            <w:r>
              <w:rPr>
                <w:rFonts w:ascii="Times New Roman" w:hAnsi="Times New Roman" w:eastAsia="宋体"/>
                <w:sz w:val="19"/>
              </w:rPr>
              <w:t>图4-1  数据采集、代表性退化特征与统一实验协议总览。图中从物理铣削与多源感知出发，依次给出三阶段退化特征、三个数据集的任务划分、9种正式方法以及分类—一致性双层评价体系。</w:t>
            </w:r>
          </w:p>
        </w:tc>
      </w:tr>
    </w:tbl>
    <w:p>
      <w:pPr>
        <w:spacing w:after="0"/>
      </w:pPr>
    </w:p>
    <w:p>
      <w:pPr>
        <w:pStyle w:val="Heading1"/>
      </w:pPr>
      <w:r>
        <w:t>图4-2  核心任务性能景观：9方法的分类—一致性轮廓</w:t>
      </w:r>
    </w:p>
    <w:p>
      <w:pPr>
        <w:spacing w:line="324" w:lineRule="auto" w:after="80"/>
        <w:ind w:firstLine="420"/>
      </w:pPr>
      <w:r>
        <w:rPr>
          <w:rFonts w:ascii="Times New Roman" w:hAnsi="Times New Roman" w:eastAsia="宋体"/>
          <w:sz w:val="21"/>
        </w:rPr>
        <w:t>正文应明确：B12不是Acc第一，而是“接近最优分类 + 最低Smooth”。不要用雷达图替代主矩阵，也不要把9种方法画成9条难以辨认的折线。</w:t>
      </w:r>
    </w:p>
    <w:p>
      <w:pPr>
        <w:jc w:val="center"/>
      </w:pPr>
      <w:r>
        <w:rPr>
          <w:rFonts w:ascii="Times New Roman" w:hAnsi="Times New Roman" w:eastAsia="黑体"/>
          <w:b/>
          <w:sz w:val="20"/>
        </w:rPr>
        <w:t>建议版式草图（仅表示信息结构，不代表最终美术布局）</w:t>
      </w:r>
    </w:p>
    <w:tbl>
      <w:tblPr>
        <w:tblW w:type="auto" w:w="0"/>
        <w:jc w:val="center"/>
        <w:tblLayout w:type="fixed"/>
        <w:tblLook w:firstColumn="1" w:firstRow="1" w:lastColumn="0" w:lastRow="0" w:noHBand="0" w:noVBand="1" w:val="04A0"/>
      </w:tblPr>
      <w:tblGrid>
        <w:gridCol w:w="4872"/>
        <w:gridCol w:w="4872"/>
      </w:tblGrid>
      <w:tr>
        <w:tc>
          <w:tcPr>
            <w:tcW w:type="dxa" w:w="4872"/>
            <w:tcMar>
              <w:top w:w="150" w:type="dxa"/>
              <w:start w:w="100" w:type="dxa"/>
              <w:bottom w:w="150" w:type="dxa"/>
              <w:end w:w="100" w:type="dxa"/>
            </w:tcMar>
            <w:shd w:fill="EAF3F8"/>
          </w:tcPr>
          <w:p>
            <w:pPr>
              <w:jc w:val="center"/>
            </w:pPr>
            <w:r>
              <w:rPr>
                <w:rFonts w:ascii="Times New Roman" w:hAnsi="Times New Roman" w:eastAsia="宋体"/>
                <w:b/>
                <w:sz w:val="17"/>
              </w:rPr>
              <w:t>(a) Method × Metric performance landscape</w:t>
            </w:r>
          </w:p>
        </w:tc>
        <w:tc>
          <w:tcPr>
            <w:tcW w:type="dxa" w:w="4872"/>
            <w:tcMar>
              <w:top w:w="150" w:type="dxa"/>
              <w:start w:w="100" w:type="dxa"/>
              <w:bottom w:w="150" w:type="dxa"/>
              <w:end w:w="100" w:type="dxa"/>
            </w:tcMar>
            <w:shd w:fill="E8F4F0"/>
          </w:tcPr>
          <w:p>
            <w:pPr>
              <w:jc w:val="center"/>
            </w:pPr>
            <w:r>
              <w:rPr>
                <w:rFonts w:ascii="Times New Roman" w:hAnsi="Times New Roman" w:eastAsia="宋体"/>
                <w:b/>
                <w:sz w:val="17"/>
              </w:rPr>
              <w:t>(b) Accuracy–Consistency Pareto map</w:t>
            </w:r>
          </w:p>
        </w:tc>
      </w:tr>
      <w:tr>
        <w:tc>
          <w:tcPr>
            <w:tcW w:type="dxa" w:w="4872"/>
            <w:tcMar>
              <w:top w:w="150" w:type="dxa"/>
              <w:start w:w="100" w:type="dxa"/>
              <w:bottom w:w="150" w:type="dxa"/>
              <w:end w:w="100" w:type="dxa"/>
            </w:tcMar>
            <w:shd w:fill="E8F4F0"/>
          </w:tcPr>
          <w:p>
            <w:pPr>
              <w:jc w:val="center"/>
            </w:pPr>
            <w:r>
              <w:rPr>
                <w:rFonts w:ascii="Times New Roman" w:hAnsi="Times New Roman" w:eastAsia="宋体"/>
                <w:b/>
                <w:sz w:val="17"/>
              </w:rPr>
              <w:t>(c) Bootstrap 95% CI strip（共享方法配色）</w:t>
            </w:r>
          </w:p>
        </w:tc>
        <w:tc>
          <w:tcPr>
            <w:tcW w:type="dxa" w:w="4872"/>
            <w:tcMar>
              <w:top w:w="150" w:type="dxa"/>
              <w:start w:w="100" w:type="dxa"/>
              <w:bottom w:w="150" w:type="dxa"/>
              <w:end w:w="100" w:type="dxa"/>
            </w:tcMar>
            <w:shd w:fill="FFF2CC"/>
          </w:tcPr>
          <w:p>
            <w:pPr>
              <w:jc w:val="center"/>
            </w:pPr>
            <w:r>
              <w:rPr>
                <w:rFonts w:ascii="Times New Roman" w:hAnsi="Times New Roman" w:eastAsia="宋体"/>
                <w:b/>
                <w:sz w:val="17"/>
              </w:rPr>
              <w:t>(c) 重点标记B11/B12/MTF/RF</w:t>
            </w:r>
          </w:p>
        </w:tc>
      </w:tr>
    </w:tbl>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子图</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建议形式</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现有数据源</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关键字段/处理</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由现有数据支持的结论</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正文中的作用</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归一化性能矩阵/clustered heatmap</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paper_data/07_figure_ready/fig1/D1_main_metrics.csv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对低优指标M→E/M→L/Smooth做方向统一；但保留原值tooltip/注释</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B11纯分类第一；B12分类仅低0.3–0.4pp，同时Smooth全局最低</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一次性回答“谁强在哪些维度”</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Acc或M-F1 × Smooth的散点/Pareto图</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fig1/accuracy_consistency_points.csv + D1_main_metrics.csv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横轴分类越高越好；纵轴Smooth越低越好；B12/B11突出</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B12位于高分类+低Smooth区域；B12 Smooth比B11低20.5%</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突出本文真实优势而非硬说Acc第一</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(c)</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Acc/Macro-F1/M-F1的bootstrap 95% CI水平区间</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D1_main_metrics.csv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只放RF、MTF-AViTK、B11、B12等代表方法，避免过密</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B11/B12的CI高度重叠；B12保持竞争性识别能力</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给审稿人统计可信度</w:t>
            </w:r>
          </w:p>
        </w:tc>
      </w:tr>
    </w:tbl>
    <w:p>
      <w:pPr>
        <w:spacing w:before="60" w:after="120"/>
        <w:jc w:val="center"/>
      </w:pPr>
      <w:r>
        <w:rPr>
          <w:rFonts w:ascii="Times New Roman" w:hAnsi="Times New Roman" w:eastAsia="宋体"/>
          <w:b/>
          <w:sz w:val="19"/>
        </w:rPr>
        <w:t>图4-2 子图设计与数据证据映射</w:t>
      </w:r>
    </w:p>
    <w:tbl>
      <w:tblPr>
        <w:tblW w:type="auto" w:w="0"/>
        <w:jc w:val="center"/>
        <w:tblLayout w:type="autofit"/>
        <w:tblLook w:firstColumn="1" w:firstRow="1" w:lastColumn="0" w:lastRow="0" w:noHBand="0" w:noVBand="1" w:val="04A0"/>
      </w:tblPr>
      <w:tblGrid>
        <w:gridCol w:w="9745"/>
      </w:tblGrid>
      <w:tr>
        <w:tc>
          <w:tcPr>
            <w:tcW w:type="dxa" w:w="9745"/>
            <w:shd w:fill="F9F4EA"/>
            <w:tcMar>
              <w:top w:w="120" w:type="dxa"/>
              <w:start w:w="150" w:type="dxa"/>
              <w:bottom w:w="120" w:type="dxa"/>
              <w:end w:w="150" w:type="dxa"/>
            </w:tcMar>
          </w:tcPr>
          <w:p>
            <w:pPr>
              <w:spacing w:after="40"/>
            </w:pPr>
            <w:r>
              <w:rPr>
                <w:rFonts w:ascii="Times New Roman" w:hAnsi="Times New Roman" w:eastAsia="黑体"/>
                <w:b/>
                <w:color w:val="1F4E79"/>
                <w:sz w:val="21"/>
              </w:rPr>
              <w:t>Caption 草案</w:t>
            </w:r>
          </w:p>
          <w:p>
            <w:pPr>
              <w:spacing w:line="300" w:lineRule="auto" w:after="0"/>
            </w:pPr>
            <w:r>
              <w:rPr>
                <w:rFonts w:ascii="Times New Roman" w:hAnsi="Times New Roman" w:eastAsia="宋体"/>
                <w:sz w:val="19"/>
              </w:rPr>
              <w:t>图4-2  PHM2010核心任务D1上9种方法的性能景观与准确性—一致性权衡。(a) 统一方向后的多指标性能矩阵；(b) 分类能力与概率平滑性的Pareto分布；(c) 代表方法在主要识别指标上的moving-block bootstrap 95%置信区间。</w:t>
            </w:r>
          </w:p>
        </w:tc>
      </w:tr>
    </w:tbl>
    <w:p>
      <w:pPr>
        <w:spacing w:after="0"/>
      </w:pPr>
    </w:p>
    <w:p>
      <w:pPr>
        <w:pStyle w:val="Heading1"/>
      </w:pPr>
      <w:r>
        <w:t>图4-3  跨目标工况与三数据集泛化景观</w:t>
      </w:r>
    </w:p>
    <w:p>
      <w:pPr>
        <w:spacing w:line="324" w:lineRule="auto" w:after="80"/>
        <w:ind w:firstLine="420"/>
      </w:pPr>
      <w:r>
        <w:rPr>
          <w:rFonts w:ascii="Times New Roman" w:hAnsi="Times New Roman" w:eastAsia="宋体"/>
          <w:sz w:val="21"/>
        </w:rPr>
        <w:t>这里的归一化必须标清“within-task normalization / relative-to-best”，原始绝对数值仍保留在表格/补充材料中。不能用归一化掩盖结果，只是把主图视觉重点放在相对模式。</w:t>
      </w:r>
    </w:p>
    <w:p>
      <w:pPr>
        <w:jc w:val="center"/>
      </w:pPr>
      <w:r>
        <w:rPr>
          <w:rFonts w:ascii="Times New Roman" w:hAnsi="Times New Roman" w:eastAsia="黑体"/>
          <w:b/>
          <w:sz w:val="20"/>
        </w:rPr>
        <w:t>建议版式草图（仅表示信息结构，不代表最终美术布局）</w:t>
      </w:r>
    </w:p>
    <w:tbl>
      <w:tblPr>
        <w:tblW w:type="auto" w:w="0"/>
        <w:jc w:val="center"/>
        <w:tblLayout w:type="fixed"/>
        <w:tblLook w:firstColumn="1" w:firstRow="1" w:lastColumn="0" w:lastRow="0" w:noHBand="0" w:noVBand="1" w:val="04A0"/>
      </w:tblPr>
      <w:tblGrid>
        <w:gridCol w:w="4872"/>
        <w:gridCol w:w="4872"/>
      </w:tblGrid>
      <w:tr>
        <w:tc>
          <w:tcPr>
            <w:tcW w:type="dxa" w:w="4872"/>
            <w:tcMar>
              <w:top w:w="150" w:type="dxa"/>
              <w:start w:w="100" w:type="dxa"/>
              <w:bottom w:w="150" w:type="dxa"/>
              <w:end w:w="100" w:type="dxa"/>
            </w:tcMar>
            <w:shd w:fill="EAF3F8"/>
          </w:tcPr>
          <w:p>
            <w:pPr>
              <w:jc w:val="center"/>
            </w:pPr>
            <w:r>
              <w:rPr>
                <w:rFonts w:ascii="Times New Roman" w:hAnsi="Times New Roman" w:eastAsia="宋体"/>
                <w:b/>
                <w:sz w:val="17"/>
              </w:rPr>
              <w:t>(a) D1/D2/D3 × 9 methods normalized/rank heatmap</w:t>
            </w:r>
          </w:p>
        </w:tc>
        <w:tc>
          <w:tcPr>
            <w:tcW w:type="dxa" w:w="4872"/>
            <w:tcMar>
              <w:top w:w="150" w:type="dxa"/>
              <w:start w:w="100" w:type="dxa"/>
              <w:bottom w:w="150" w:type="dxa"/>
              <w:end w:w="100" w:type="dxa"/>
            </w:tcMar>
            <w:shd w:fill="E8F4F0"/>
          </w:tcPr>
          <w:p>
            <w:r/>
          </w:p>
        </w:tc>
      </w:tr>
      <w:tr>
        <w:tc>
          <w:tcPr>
            <w:tcW w:type="dxa" w:w="4872"/>
            <w:tcMar>
              <w:top w:w="150" w:type="dxa"/>
              <w:start w:w="100" w:type="dxa"/>
              <w:bottom w:w="150" w:type="dxa"/>
              <w:end w:w="100" w:type="dxa"/>
            </w:tcMar>
            <w:shd w:fill="E8F4F0"/>
          </w:tcPr>
          <w:p>
            <w:pPr>
              <w:jc w:val="center"/>
            </w:pPr>
            <w:r>
              <w:rPr>
                <w:rFonts w:ascii="Times New Roman" w:hAnsi="Times New Roman" w:eastAsia="宋体"/>
                <w:b/>
                <w:sz w:val="17"/>
              </w:rPr>
              <w:t>(b) PHM: B11→B12 paired deltas</w:t>
            </w:r>
          </w:p>
        </w:tc>
        <w:tc>
          <w:tcPr>
            <w:tcW w:type="dxa" w:w="4872"/>
            <w:tcMar>
              <w:top w:w="150" w:type="dxa"/>
              <w:start w:w="100" w:type="dxa"/>
              <w:bottom w:w="150" w:type="dxa"/>
              <w:end w:w="100" w:type="dxa"/>
            </w:tcMar>
            <w:shd w:fill="FFF2CC"/>
          </w:tcPr>
          <w:p>
            <w:pPr>
              <w:jc w:val="center"/>
            </w:pPr>
            <w:r>
              <w:rPr>
                <w:rFonts w:ascii="Times New Roman" w:hAnsi="Times New Roman" w:eastAsia="宋体"/>
                <w:b/>
                <w:sz w:val="17"/>
              </w:rPr>
              <w:t>(c) Cross-dataset delta matrix: PHM / NASA / MTW</w:t>
            </w:r>
          </w:p>
        </w:tc>
      </w:tr>
    </w:tbl>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子图</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建议形式</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现有数据源</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关键字段/处理</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由现有数据支持的结论</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正文中的作用</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任务内归一化热力图/排名矩阵</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paper_data/07_figure_ready/fig2/taskwise_normalized.csv；taskwise_rank.csv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每个任务内部归一化，避免直接把不同难度Acc混在同一色轴</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D1/D2/D3排名显著变化；不存在全任务单一赢家</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把“target-condition dependence”变成可视证据</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D1/D2/D3的B11→B12 dumbbell / slope</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fig2/taskwise_absolute.csv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指标：Acc、M-F1、M-Rec、Smooth；Smooth以benefit方向显示</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D1以平滑改善为主；D2小幅分类trade-off+Smooth改善；D3分类和M-Rec反而提升</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解释本文方法不是固定幅度增益</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(c)</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跨数据集delta矩阵/瀑布图</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paper_data/07_figure_ready/fig3/cross_dataset_deltas.csv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只画ΔAcc、ΔM-F1、Smooth benefit、Jump benefit，不用低绝对Acc做headline</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NASA：M-F1 +5.86pp、Smooth -35%、Jump -50%；MTW三任务平均M-F1 +10.04pp、Smooth -23.9%、Jump -82.5%</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体现第三数据集价值并避免低绝对Acc抢叙事</w:t>
            </w:r>
          </w:p>
        </w:tc>
      </w:tr>
    </w:tbl>
    <w:p>
      <w:pPr>
        <w:spacing w:before="60" w:after="120"/>
        <w:jc w:val="center"/>
      </w:pPr>
      <w:r>
        <w:rPr>
          <w:rFonts w:ascii="Times New Roman" w:hAnsi="Times New Roman" w:eastAsia="宋体"/>
          <w:b/>
          <w:sz w:val="19"/>
        </w:rPr>
        <w:t>图4-3 子图设计与数据证据映射</w:t>
      </w:r>
    </w:p>
    <w:tbl>
      <w:tblPr>
        <w:tblW w:type="auto" w:w="0"/>
        <w:jc w:val="center"/>
        <w:tblLayout w:type="autofit"/>
        <w:tblLook w:firstColumn="1" w:firstRow="1" w:lastColumn="0" w:lastRow="0" w:noHBand="0" w:noVBand="1" w:val="04A0"/>
      </w:tblPr>
      <w:tblGrid>
        <w:gridCol w:w="9745"/>
      </w:tblGrid>
      <w:tr>
        <w:tc>
          <w:tcPr>
            <w:tcW w:type="dxa" w:w="9745"/>
            <w:shd w:fill="F9F4EA"/>
            <w:tcMar>
              <w:top w:w="120" w:type="dxa"/>
              <w:start w:w="150" w:type="dxa"/>
              <w:bottom w:w="120" w:type="dxa"/>
              <w:end w:w="150" w:type="dxa"/>
            </w:tcMar>
          </w:tcPr>
          <w:p>
            <w:pPr>
              <w:spacing w:after="40"/>
            </w:pPr>
            <w:r>
              <w:rPr>
                <w:rFonts w:ascii="Times New Roman" w:hAnsi="Times New Roman" w:eastAsia="黑体"/>
                <w:b/>
                <w:color w:val="1F4E79"/>
                <w:sz w:val="21"/>
              </w:rPr>
              <w:t>Caption 草案</w:t>
            </w:r>
          </w:p>
          <w:p>
            <w:pPr>
              <w:spacing w:line="300" w:lineRule="auto" w:after="0"/>
            </w:pPr>
            <w:r>
              <w:rPr>
                <w:rFonts w:ascii="Times New Roman" w:hAnsi="Times New Roman" w:eastAsia="宋体"/>
                <w:sz w:val="19"/>
              </w:rPr>
              <w:t>图4-3  目标工况变化与跨数据集迁移下的相对性能结构。(a) D1–D3上的任务内归一化/排名景观；(b) Multi-task TCN-GRU到DC-PSR的PHM任务级指标变化；(c) PHM2010、NASA Milling和MTW-CM中B11→B12的跨数据集增益。</w:t>
            </w:r>
          </w:p>
        </w:tc>
      </w:tr>
    </w:tbl>
    <w:p>
      <w:pPr>
        <w:spacing w:after="0"/>
      </w:pPr>
    </w:p>
    <w:p>
      <w:pPr>
        <w:pStyle w:val="Heading1"/>
      </w:pPr>
      <w:r>
        <w:t>图4-4  A1→A6机制演化带：消融不是六个孤立柱子</w:t>
      </w:r>
    </w:p>
    <w:p>
      <w:pPr>
        <w:spacing w:line="324" w:lineRule="auto" w:after="80"/>
        <w:ind w:firstLine="420"/>
      </w:pPr>
      <w:r>
        <w:rPr>
          <w:rFonts w:ascii="Times New Roman" w:hAnsi="Times New Roman" w:eastAsia="宋体"/>
          <w:sz w:val="21"/>
        </w:rPr>
        <w:t>这张图可以更“炫”一些，但核心不是装饰，而是“共享横轴的机制演化”。禁止重新做成2×2四宫格。</w:t>
      </w:r>
    </w:p>
    <w:p>
      <w:pPr>
        <w:jc w:val="center"/>
      </w:pPr>
      <w:r>
        <w:rPr>
          <w:rFonts w:ascii="Times New Roman" w:hAnsi="Times New Roman" w:eastAsia="黑体"/>
          <w:b/>
          <w:sz w:val="20"/>
        </w:rPr>
        <w:t>建议版式草图（仅表示信息结构，不代表最终美术布局）</w:t>
      </w:r>
    </w:p>
    <w:tbl>
      <w:tblPr>
        <w:tblW w:type="auto" w:w="0"/>
        <w:jc w:val="center"/>
        <w:tblLayout w:type="fixed"/>
        <w:tblLook w:firstColumn="1" w:firstRow="1" w:lastColumn="0" w:lastRow="0" w:noHBand="0" w:noVBand="1" w:val="04A0"/>
      </w:tblPr>
      <w:tblGrid>
        <w:gridCol w:w="9745"/>
      </w:tblGrid>
      <w:tr>
        <w:tc>
          <w:tcPr>
            <w:tcW w:type="dxa" w:w="9745"/>
            <w:tcMar>
              <w:top w:w="150" w:type="dxa"/>
              <w:start w:w="100" w:type="dxa"/>
              <w:bottom w:w="150" w:type="dxa"/>
              <w:end w:w="100" w:type="dxa"/>
            </w:tcMar>
            <w:shd w:fill="EAF3F8"/>
          </w:tcPr>
          <w:p>
            <w:pPr>
              <w:jc w:val="center"/>
            </w:pPr>
            <w:r>
              <w:rPr>
                <w:rFonts w:ascii="Times New Roman" w:hAnsi="Times New Roman" w:eastAsia="宋体"/>
                <w:b/>
                <w:sz w:val="17"/>
              </w:rPr>
              <w:t>共享横轴 A1 → A2 → A3 → A4 → A5 → A6</w:t>
            </w:r>
          </w:p>
        </w:tc>
      </w:tr>
      <w:tr>
        <w:tc>
          <w:tcPr>
            <w:tcW w:type="dxa" w:w="9745"/>
            <w:tcMar>
              <w:top w:w="150" w:type="dxa"/>
              <w:start w:w="100" w:type="dxa"/>
              <w:bottom w:w="150" w:type="dxa"/>
              <w:end w:w="100" w:type="dxa"/>
            </w:tcMar>
            <w:shd w:fill="E8F4F0"/>
          </w:tcPr>
          <w:p>
            <w:pPr>
              <w:jc w:val="center"/>
            </w:pPr>
            <w:r>
              <w:rPr>
                <w:rFonts w:ascii="Times New Roman" w:hAnsi="Times New Roman" w:eastAsia="宋体"/>
                <w:b/>
                <w:sz w:val="17"/>
              </w:rPr>
              <w:t>Band-1: predictive metrics</w:t>
            </w:r>
          </w:p>
        </w:tc>
      </w:tr>
      <w:tr>
        <w:tc>
          <w:tcPr>
            <w:tcW w:type="dxa" w:w="9745"/>
            <w:tcMar>
              <w:top w:w="150" w:type="dxa"/>
              <w:start w:w="100" w:type="dxa"/>
              <w:bottom w:w="150" w:type="dxa"/>
              <w:end w:w="100" w:type="dxa"/>
            </w:tcMar>
            <w:shd w:fill="FFF2CC"/>
          </w:tcPr>
          <w:p>
            <w:pPr>
              <w:jc w:val="center"/>
            </w:pPr>
            <w:r>
              <w:rPr>
                <w:rFonts w:ascii="Times New Roman" w:hAnsi="Times New Roman" w:eastAsia="宋体"/>
                <w:b/>
                <w:sz w:val="17"/>
              </w:rPr>
              <w:t>Band-2: middle-stage / transition consistency</w:t>
            </w:r>
          </w:p>
        </w:tc>
      </w:tr>
      <w:tr>
        <w:tc>
          <w:tcPr>
            <w:tcW w:type="dxa" w:w="9745"/>
            <w:tcMar>
              <w:top w:w="150" w:type="dxa"/>
              <w:start w:w="100" w:type="dxa"/>
              <w:bottom w:w="150" w:type="dxa"/>
              <w:end w:w="100" w:type="dxa"/>
            </w:tcMar>
            <w:shd w:fill="FCE4D6"/>
          </w:tcPr>
          <w:p>
            <w:pPr>
              <w:jc w:val="center"/>
            </w:pPr>
            <w:r>
              <w:rPr>
                <w:rFonts w:ascii="Times New Roman" w:hAnsi="Times New Roman" w:eastAsia="宋体"/>
                <w:b/>
                <w:sz w:val="17"/>
              </w:rPr>
              <w:t>Band-3: lifecycle probability variation + cumulative variation</w:t>
            </w:r>
          </w:p>
        </w:tc>
      </w:tr>
    </w:tbl>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子图</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建议形式</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现有数据源</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关键字段/处理</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由现有数据支持的结论</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正文中的作用</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Band-1</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细柱/点线混合，统一A1–A6横轴</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paper_data/07_figure_ready/fig4/A1_A6_absolute.csv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Acc、Macro-F1、M-F1；在A5/A6处标注变化</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A1–A4硬分类完全相同；A5因强ordered filter下降；A6恢复大部分分类能力</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说明模块递进并非每步都改变hard decision</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Band-2</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小型热力条/折线带</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A1_A6_absolute.csv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M-Rec、M→E、M→L、Smooth，统一“好/坏”视觉方向</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A5 Smooth相对A1下降42.4%但M-Rec下降；A6 M-Rec恢复且Smooth仍较A1低20.5%</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揭示A5过平滑、A6平衡机制</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Band-3</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六条生命周期局部变化曲线 + 累计变化曲线</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A1_A6_lifecycle_variation.csv；A1_A6_cumulative_variation.csv；A1_A6_probability_trajectories.csv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所有A配置共享relative life轴；曲线色由A1浅灰→A6主题色</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概率轨迹差异在A2–A4阶段已产生，A5压制波动最强，A6重新引入必要边界响应</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把消融从“表格”升级为机制可视化</w:t>
            </w:r>
          </w:p>
        </w:tc>
      </w:tr>
    </w:tbl>
    <w:p>
      <w:pPr>
        <w:spacing w:before="60" w:after="120"/>
        <w:jc w:val="center"/>
      </w:pPr>
      <w:r>
        <w:rPr>
          <w:rFonts w:ascii="Times New Roman" w:hAnsi="Times New Roman" w:eastAsia="宋体"/>
          <w:b/>
          <w:sz w:val="19"/>
        </w:rPr>
        <w:t>图4-4 子图设计与数据证据映射</w:t>
      </w:r>
    </w:p>
    <w:tbl>
      <w:tblPr>
        <w:tblW w:type="auto" w:w="0"/>
        <w:jc w:val="center"/>
        <w:tblLayout w:type="autofit"/>
        <w:tblLook w:firstColumn="1" w:firstRow="1" w:lastColumn="0" w:lastRow="0" w:noHBand="0" w:noVBand="1" w:val="04A0"/>
      </w:tblPr>
      <w:tblGrid>
        <w:gridCol w:w="9745"/>
      </w:tblGrid>
      <w:tr>
        <w:tc>
          <w:tcPr>
            <w:tcW w:type="dxa" w:w="9745"/>
            <w:shd w:fill="F9F4EA"/>
            <w:tcMar>
              <w:top w:w="120" w:type="dxa"/>
              <w:start w:w="150" w:type="dxa"/>
              <w:bottom w:w="120" w:type="dxa"/>
              <w:end w:w="150" w:type="dxa"/>
            </w:tcMar>
          </w:tcPr>
          <w:p>
            <w:pPr>
              <w:spacing w:after="40"/>
            </w:pPr>
            <w:r>
              <w:rPr>
                <w:rFonts w:ascii="Times New Roman" w:hAnsi="Times New Roman" w:eastAsia="黑体"/>
                <w:b/>
                <w:color w:val="1F4E79"/>
                <w:sz w:val="21"/>
              </w:rPr>
              <w:t>Caption 草案</w:t>
            </w:r>
          </w:p>
          <w:p>
            <w:pPr>
              <w:spacing w:line="300" w:lineRule="auto" w:after="0"/>
            </w:pPr>
            <w:r>
              <w:rPr>
                <w:rFonts w:ascii="Times New Roman" w:hAnsi="Times New Roman" w:eastAsia="宋体"/>
                <w:sz w:val="19"/>
              </w:rPr>
              <w:t>图4-4  A1–A6模块递进对预测性能、Middle-stage一致性及生命周期概率动力学的影响。所有信息带共享同一A1→A6横轴，以揭示fine-state、q先验、有序滤波与最终融合的连续作用链。</w:t>
            </w:r>
          </w:p>
        </w:tc>
      </w:tr>
    </w:tbl>
    <w:p>
      <w:pPr>
        <w:spacing w:after="0"/>
      </w:pPr>
    </w:p>
    <w:p>
      <w:pPr>
        <w:pStyle w:val="Heading1"/>
      </w:pPr>
      <w:r>
        <w:t>图4-5  有序退化语义：同一生命周期的四种投影视角</w:t>
      </w:r>
    </w:p>
    <w:p>
      <w:pPr>
        <w:spacing w:line="324" w:lineRule="auto" w:after="80"/>
        <w:ind w:firstLine="420"/>
      </w:pPr>
      <w:r>
        <w:rPr>
          <w:rFonts w:ascii="Times New Roman" w:hAnsi="Times New Roman" w:eastAsia="宋体"/>
          <w:sz w:val="21"/>
        </w:rPr>
        <w:t>这是第一张主打视觉图。不要让四个panel各自像独立论文图；必须使用相同relative-life渐变、关键样本连线和统一阶段颜色，让读者感觉是“同一批样本在四个空间中的投影”。</w:t>
      </w:r>
    </w:p>
    <w:p>
      <w:pPr>
        <w:jc w:val="center"/>
      </w:pPr>
      <w:r>
        <w:rPr>
          <w:rFonts w:ascii="Times New Roman" w:hAnsi="Times New Roman" w:eastAsia="黑体"/>
          <w:b/>
          <w:sz w:val="20"/>
        </w:rPr>
        <w:t>建议版式草图（仅表示信息结构，不代表最终美术布局）</w:t>
      </w:r>
    </w:p>
    <w:tbl>
      <w:tblPr>
        <w:tblW w:type="auto" w:w="0"/>
        <w:jc w:val="center"/>
        <w:tblLayout w:type="fixed"/>
        <w:tblLook w:firstColumn="1" w:firstRow="1" w:lastColumn="0" w:lastRow="0" w:noHBand="0" w:noVBand="1" w:val="04A0"/>
      </w:tblPr>
      <w:tblGrid>
        <w:gridCol w:w="4872"/>
        <w:gridCol w:w="4872"/>
      </w:tblGrid>
      <w:tr>
        <w:tc>
          <w:tcPr>
            <w:tcW w:type="dxa" w:w="4872"/>
            <w:tcMar>
              <w:top w:w="150" w:type="dxa"/>
              <w:start w:w="100" w:type="dxa"/>
              <w:bottom w:w="150" w:type="dxa"/>
              <w:end w:w="100" w:type="dxa"/>
            </w:tcMar>
            <w:shd w:fill="EAF3F8"/>
          </w:tcPr>
          <w:p>
            <w:pPr>
              <w:jc w:val="center"/>
            </w:pPr>
            <w:r>
              <w:rPr>
                <w:rFonts w:ascii="Times New Roman" w:hAnsi="Times New Roman" w:eastAsia="宋体"/>
                <w:b/>
                <w:sz w:val="17"/>
              </w:rPr>
              <w:t>(a) Full lifecycle pE/pM/pL + q̂（主轴）</w:t>
            </w:r>
          </w:p>
        </w:tc>
        <w:tc>
          <w:tcPr>
            <w:tcW w:type="dxa" w:w="4872"/>
            <w:tcMar>
              <w:top w:w="150" w:type="dxa"/>
              <w:start w:w="100" w:type="dxa"/>
              <w:bottom w:w="150" w:type="dxa"/>
              <w:end w:w="100" w:type="dxa"/>
            </w:tcMar>
            <w:shd w:fill="E8F4F0"/>
          </w:tcPr>
          <w:p>
            <w:r/>
          </w:p>
        </w:tc>
      </w:tr>
      <w:tr>
        <w:tc>
          <w:tcPr>
            <w:tcW w:type="dxa" w:w="4872"/>
            <w:tcMar>
              <w:top w:w="150" w:type="dxa"/>
              <w:start w:w="100" w:type="dxa"/>
              <w:bottom w:w="150" w:type="dxa"/>
              <w:end w:w="100" w:type="dxa"/>
            </w:tcMar>
            <w:shd w:fill="E8F4F0"/>
          </w:tcPr>
          <w:p>
            <w:pPr>
              <w:jc w:val="center"/>
            </w:pPr>
            <w:r>
              <w:rPr>
                <w:rFonts w:ascii="Times New Roman" w:hAnsi="Times New Roman" w:eastAsia="宋体"/>
                <w:b/>
                <w:sz w:val="17"/>
              </w:rPr>
              <w:t>(b) Probability simplex linked view</w:t>
            </w:r>
          </w:p>
        </w:tc>
        <w:tc>
          <w:tcPr>
            <w:tcW w:type="dxa" w:w="4872"/>
            <w:tcMar>
              <w:top w:w="150" w:type="dxa"/>
              <w:start w:w="100" w:type="dxa"/>
              <w:bottom w:w="150" w:type="dxa"/>
              <w:end w:w="100" w:type="dxa"/>
            </w:tcMar>
            <w:shd w:fill="FFF2CC"/>
          </w:tcPr>
          <w:p>
            <w:pPr>
              <w:jc w:val="center"/>
            </w:pPr>
            <w:r>
              <w:rPr>
                <w:rFonts w:ascii="Times New Roman" w:hAnsi="Times New Roman" w:eastAsia="宋体"/>
                <w:b/>
                <w:sz w:val="17"/>
              </w:rPr>
              <w:t>(c) q_true–q_pred density</w:t>
            </w:r>
          </w:p>
        </w:tc>
      </w:tr>
      <w:tr>
        <w:tc>
          <w:tcPr>
            <w:tcW w:type="dxa" w:w="4872"/>
            <w:tcMar>
              <w:top w:w="150" w:type="dxa"/>
              <w:start w:w="100" w:type="dxa"/>
              <w:bottom w:w="150" w:type="dxa"/>
              <w:end w:w="100" w:type="dxa"/>
            </w:tcMar>
            <w:shd w:fill="FFF2CC"/>
          </w:tcPr>
          <w:p>
            <w:pPr>
              <w:jc w:val="center"/>
            </w:pPr>
            <w:r>
              <w:rPr>
                <w:rFonts w:ascii="Times New Roman" w:hAnsi="Times New Roman" w:eastAsia="宋体"/>
                <w:b/>
                <w:sz w:val="17"/>
              </w:rPr>
              <w:t>(d) Physical wear VB anchor</w:t>
            </w:r>
          </w:p>
        </w:tc>
        <w:tc>
          <w:tcPr>
            <w:tcW w:type="dxa" w:w="4872"/>
            <w:tcMar>
              <w:top w:w="150" w:type="dxa"/>
              <w:start w:w="100" w:type="dxa"/>
              <w:bottom w:w="150" w:type="dxa"/>
              <w:end w:w="100" w:type="dxa"/>
            </w:tcMar>
            <w:shd w:fill="FCE4D6"/>
          </w:tcPr>
          <w:p>
            <w:r/>
          </w:p>
        </w:tc>
      </w:tr>
    </w:tbl>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子图</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建议形式</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现有数据源</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关键字段/处理</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由现有数据支持的结论</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正文中的作用</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长横向概率轨迹 + q̂子带</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paper_data/07_figure_ready/fig5/lifecycle_semantics.csv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relative life为共同横轴；背景按阶段着色</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304-run生命周期中阶段概率按Early→Middle→Late有序交替，D1 Rev/Jump=0</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建立时间演化主故事</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三角simplex轨迹，生命周期渐变线</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fig5/simplex_trajectory.csv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同一relative life颜色映射，关键点与(a)视觉关联</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概率状态沿Early→Middle→Late几何路径迁移，而非随机散布</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形成强视觉记忆点</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(c)</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hexbin / density scatter + y=x</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fig5/q_agreement.csv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q_true vs raw q_pred；统计框R²≈0.748, ρ≈0.963, MAE≈0.113</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退化顺序相关性很高，但后期q存在压缩，因此解释为相对退化位置而非精确磨损回归</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给连续退化语义定量证据</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(d)</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raincloud/violin + box + points</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fig5/wear_by_predicted_stage.csv + lifecycle_semantics.csv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Early/Middle/Late VB分布；均值100.55/126.29/205.46 μm</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预测阶段对应真实VB单调增加；Late平均VB约Early的2.04倍</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提供物理语义落脚点</w:t>
            </w:r>
          </w:p>
        </w:tc>
      </w:tr>
    </w:tbl>
    <w:p>
      <w:pPr>
        <w:spacing w:before="60" w:after="120"/>
        <w:jc w:val="center"/>
      </w:pPr>
      <w:r>
        <w:rPr>
          <w:rFonts w:ascii="Times New Roman" w:hAnsi="Times New Roman" w:eastAsia="宋体"/>
          <w:b/>
          <w:sz w:val="19"/>
        </w:rPr>
        <w:t>图4-5 子图设计与数据证据映射</w:t>
      </w:r>
    </w:p>
    <w:tbl>
      <w:tblPr>
        <w:tblW w:type="auto" w:w="0"/>
        <w:jc w:val="center"/>
        <w:tblLayout w:type="autofit"/>
        <w:tblLook w:firstColumn="1" w:firstRow="1" w:lastColumn="0" w:lastRow="0" w:noHBand="0" w:noVBand="1" w:val="04A0"/>
      </w:tblPr>
      <w:tblGrid>
        <w:gridCol w:w="9745"/>
      </w:tblGrid>
      <w:tr>
        <w:tc>
          <w:tcPr>
            <w:tcW w:type="dxa" w:w="9745"/>
            <w:shd w:fill="F9F4EA"/>
            <w:tcMar>
              <w:top w:w="120" w:type="dxa"/>
              <w:start w:w="150" w:type="dxa"/>
              <w:bottom w:w="120" w:type="dxa"/>
              <w:end w:w="150" w:type="dxa"/>
            </w:tcMar>
          </w:tcPr>
          <w:p>
            <w:pPr>
              <w:spacing w:after="40"/>
            </w:pPr>
            <w:r>
              <w:rPr>
                <w:rFonts w:ascii="Times New Roman" w:hAnsi="Times New Roman" w:eastAsia="黑体"/>
                <w:b/>
                <w:color w:val="1F4E79"/>
                <w:sz w:val="21"/>
              </w:rPr>
              <w:t>Caption 草案</w:t>
            </w:r>
          </w:p>
          <w:p>
            <w:pPr>
              <w:spacing w:line="300" w:lineRule="auto" w:after="0"/>
            </w:pPr>
            <w:r>
              <w:rPr>
                <w:rFonts w:ascii="Times New Roman" w:hAnsi="Times New Roman" w:eastAsia="宋体"/>
                <w:sz w:val="19"/>
              </w:rPr>
              <w:t>图4-5  DC-PSR退化状态的有序概率语义。(a) 完整生命周期阶段概率与连续退化位置；(b) 概率单纯形中的有序轨迹；(c) 真实与预测退化位置的一致性；(d) 预测阶段对应的真实后刀面磨损分布。</w:t>
            </w:r>
          </w:p>
        </w:tc>
      </w:tr>
    </w:tbl>
    <w:p>
      <w:pPr>
        <w:spacing w:after="0"/>
      </w:pPr>
    </w:p>
    <w:p>
      <w:pPr>
        <w:pStyle w:val="Heading1"/>
      </w:pPr>
      <w:r>
        <w:t>图4-6  共享退化流形与联合概率曲面：视觉冲击主图</w:t>
      </w:r>
    </w:p>
    <w:p>
      <w:pPr>
        <w:spacing w:line="324" w:lineRule="auto" w:after="80"/>
        <w:ind w:firstLine="420"/>
      </w:pPr>
      <w:r>
        <w:rPr>
          <w:rFonts w:ascii="Times New Roman" w:hAnsi="Times New Roman" w:eastAsia="宋体"/>
          <w:sz w:val="21"/>
        </w:rPr>
        <w:t>这是第二张主打视觉图，也是全章最“炫”的图。可以保留原Fig.17和Fig.18的视觉语言，但必须用同一配色、同一关键样本、同一生命周期方向将二维点云与三维表面连接起来。三维表面只用于结构展示，不额外宣称新定量结论。</w:t>
      </w:r>
    </w:p>
    <w:p>
      <w:pPr>
        <w:jc w:val="center"/>
      </w:pPr>
      <w:r>
        <w:rPr>
          <w:rFonts w:ascii="Times New Roman" w:hAnsi="Times New Roman" w:eastAsia="黑体"/>
          <w:b/>
          <w:sz w:val="20"/>
        </w:rPr>
        <w:t>建议版式草图（仅表示信息结构，不代表最终美术布局）</w:t>
      </w:r>
    </w:p>
    <w:tbl>
      <w:tblPr>
        <w:tblW w:type="auto" w:w="0"/>
        <w:jc w:val="center"/>
        <w:tblLayout w:type="fixed"/>
        <w:tblLook w:firstColumn="1" w:firstRow="1" w:lastColumn="0" w:lastRow="0" w:noHBand="0" w:noVBand="1" w:val="04A0"/>
      </w:tblPr>
      <w:tblGrid>
        <w:gridCol w:w="3248"/>
        <w:gridCol w:w="3248"/>
        <w:gridCol w:w="3248"/>
      </w:tblGrid>
      <w:tr>
        <w:tc>
          <w:tcPr>
            <w:tcW w:type="dxa" w:w="3248"/>
            <w:tcMar>
              <w:top w:w="150" w:type="dxa"/>
              <w:start w:w="100" w:type="dxa"/>
              <w:bottom w:w="150" w:type="dxa"/>
              <w:end w:w="100" w:type="dxa"/>
            </w:tcMar>
            <w:shd w:fill="EAF3F8"/>
          </w:tcPr>
          <w:p>
            <w:pPr>
              <w:jc w:val="center"/>
            </w:pPr>
            <w:r>
              <w:rPr>
                <w:rFonts w:ascii="Times New Roman" w:hAnsi="Times New Roman" w:eastAsia="宋体"/>
                <w:b/>
                <w:sz w:val="17"/>
              </w:rPr>
              <w:t>(a) Latent PCA / Stage</w:t>
            </w:r>
          </w:p>
        </w:tc>
        <w:tc>
          <w:tcPr>
            <w:tcW w:type="dxa" w:w="3248"/>
            <w:tcMar>
              <w:top w:w="150" w:type="dxa"/>
              <w:start w:w="100" w:type="dxa"/>
              <w:bottom w:w="150" w:type="dxa"/>
              <w:end w:w="100" w:type="dxa"/>
            </w:tcMar>
            <w:shd w:fill="E8F4F0"/>
          </w:tcPr>
          <w:p>
            <w:pPr>
              <w:jc w:val="center"/>
            </w:pPr>
            <w:r>
              <w:rPr>
                <w:rFonts w:ascii="Times New Roman" w:hAnsi="Times New Roman" w:eastAsia="宋体"/>
                <w:b/>
                <w:sz w:val="17"/>
              </w:rPr>
              <w:t>(b) Latent PCA / q</w:t>
            </w:r>
          </w:p>
        </w:tc>
        <w:tc>
          <w:tcPr>
            <w:tcW w:type="dxa" w:w="3248"/>
            <w:tcMar>
              <w:top w:w="150" w:type="dxa"/>
              <w:start w:w="100" w:type="dxa"/>
              <w:bottom w:w="150" w:type="dxa"/>
              <w:end w:w="100" w:type="dxa"/>
            </w:tcMar>
            <w:shd w:fill="FFF2CC"/>
          </w:tcPr>
          <w:p>
            <w:pPr>
              <w:jc w:val="center"/>
            </w:pPr>
            <w:r>
              <w:rPr>
                <w:rFonts w:ascii="Times New Roman" w:hAnsi="Times New Roman" w:eastAsia="宋体"/>
                <w:b/>
                <w:sz w:val="17"/>
              </w:rPr>
              <w:t>(c) Latent PCA / uncertainty</w:t>
            </w:r>
          </w:p>
        </w:tc>
      </w:tr>
      <w:tr>
        <w:tc>
          <w:tcPr>
            <w:tcW w:type="dxa" w:w="3248"/>
            <w:tcMar>
              <w:top w:w="150" w:type="dxa"/>
              <w:start w:w="100" w:type="dxa"/>
              <w:bottom w:w="150" w:type="dxa"/>
              <w:end w:w="100" w:type="dxa"/>
            </w:tcMar>
            <w:shd w:fill="E8F4F0"/>
          </w:tcPr>
          <w:p>
            <w:pPr>
              <w:jc w:val="center"/>
            </w:pPr>
            <w:r>
              <w:rPr>
                <w:rFonts w:ascii="Times New Roman" w:hAnsi="Times New Roman" w:eastAsia="宋体"/>
                <w:b/>
                <w:sz w:val="17"/>
              </w:rPr>
              <w:t>(d) 3D stage-probability surface</w:t>
            </w:r>
          </w:p>
        </w:tc>
        <w:tc>
          <w:tcPr>
            <w:tcW w:type="dxa" w:w="3248"/>
            <w:tcMar>
              <w:top w:w="150" w:type="dxa"/>
              <w:start w:w="100" w:type="dxa"/>
              <w:bottom w:w="150" w:type="dxa"/>
              <w:end w:w="100" w:type="dxa"/>
            </w:tcMar>
            <w:shd w:fill="FFF2CC"/>
          </w:tcPr>
          <w:p>
            <w:pPr>
              <w:jc w:val="center"/>
            </w:pPr>
            <w:r>
              <w:rPr>
                <w:rFonts w:ascii="Times New Roman" w:hAnsi="Times New Roman" w:eastAsia="宋体"/>
                <w:b/>
                <w:sz w:val="17"/>
              </w:rPr>
              <w:t>(e) 3D confidence surface over q</w:t>
            </w:r>
          </w:p>
        </w:tc>
        <w:tc>
          <w:tcPr>
            <w:tcW w:type="dxa" w:w="3248"/>
            <w:tcMar>
              <w:top w:w="150" w:type="dxa"/>
              <w:start w:w="100" w:type="dxa"/>
              <w:bottom w:w="150" w:type="dxa"/>
              <w:end w:w="100" w:type="dxa"/>
            </w:tcMar>
            <w:shd w:fill="FCE4D6"/>
          </w:tcPr>
          <w:p>
            <w:r/>
          </w:p>
        </w:tc>
      </w:tr>
    </w:tbl>
    <w:p>
      <w:pPr>
        <w:spacing w:after="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cantSplit/>
          <w:tblHeader w:val="true"/>
        </w:trPr>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子图</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建议形式</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现有数据源</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关键字段/处理</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由现有数据支持的结论</w:t>
            </w:r>
          </w:p>
        </w:tc>
        <w:tc>
          <w:tcPr>
            <w:tcW w:type="dxa" w:w="1624"/>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5"/>
              </w:rPr>
              <w:t>正文中的作用</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(a)</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高密度彩色点云 + stage marker</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paper_data/07_figure_ready/fig5/hidden_representation.csv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64维h做同一PCA投影；按Early/Middle/Late着色</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共享表示形成有序弯曲结构，而非三个无关系孤立簇</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继承原Fig.17的彩点视觉</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(b)</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同一PCA坐标按q连续色标着色</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hidden_representation.csv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坐标不变，只换颜色语义</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q沿流形方向连续变化，说明latent保留连续退化信息</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把“阶段分类”连接到“连续退化”</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(c)</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同一PCA坐标按uncertainty着色</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hidden_representation.csv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可用misclassified轮廓或边界圈标记</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高不确定区域与阶段边界/困难样本对应，可作为边界可靠性解释</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增强可解释性与视觉层次</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(d)</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3D stage probability surface + ridge</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fig5/lifecycle_semantics.csv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x=relative life/run index；y=E/M/L；z=p；叠加最大概率ridge</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三个阶段形成依次占优的高概率脊线，转换区出现明显概率重分配</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保留原Fig.18的三维冲击</w:t>
            </w:r>
          </w:p>
        </w:tc>
      </w:tr>
      <w:tr>
        <w:trPr>
          <w:cantSplit/>
        </w:trPr>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(e)</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3D max-probability/confidence surface over q</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lifecycle_semantics.csv + q_agreement.csv</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x=life；y=q̂；z=max(p)或confidence；叠加q trajectory</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置信度在主阶段内部高，在转换区形成谷值，并与q变化同步</w:t>
            </w:r>
          </w:p>
        </w:tc>
        <w:tc>
          <w:tcPr>
            <w:tcW w:type="dxa" w:w="1624"/>
            <w:vAlign w:val="center"/>
            <w:tcMar>
              <w:top w:w="70" w:type="dxa"/>
              <w:start w:w="90" w:type="dxa"/>
              <w:bottom w:w="70" w:type="dxa"/>
              <w:end w:w="90" w:type="dxa"/>
            </w:tcMar>
          </w:tcPr>
          <w:p>
            <w:pPr>
              <w:spacing w:after="0" w:line="252" w:lineRule="auto"/>
            </w:pPr>
            <w:r>
              <w:rPr>
                <w:rFonts w:ascii="Times New Roman" w:hAnsi="Times New Roman" w:eastAsia="宋体"/>
                <w:sz w:val="15"/>
              </w:rPr>
              <w:t>展示概率—q—置信度联合演化</w:t>
            </w:r>
          </w:p>
        </w:tc>
      </w:tr>
    </w:tbl>
    <w:p>
      <w:pPr>
        <w:spacing w:before="60" w:after="120"/>
        <w:jc w:val="center"/>
      </w:pPr>
      <w:r>
        <w:rPr>
          <w:rFonts w:ascii="Times New Roman" w:hAnsi="Times New Roman" w:eastAsia="宋体"/>
          <w:b/>
          <w:sz w:val="19"/>
        </w:rPr>
        <w:t>图4-6 子图设计与数据证据映射</w:t>
      </w:r>
    </w:p>
    <w:tbl>
      <w:tblPr>
        <w:tblW w:type="auto" w:w="0"/>
        <w:jc w:val="center"/>
        <w:tblLayout w:type="autofit"/>
        <w:tblLook w:firstColumn="1" w:firstRow="1" w:lastColumn="0" w:lastRow="0" w:noHBand="0" w:noVBand="1" w:val="04A0"/>
      </w:tblPr>
      <w:tblGrid>
        <w:gridCol w:w="9745"/>
      </w:tblGrid>
      <w:tr>
        <w:tc>
          <w:tcPr>
            <w:tcW w:type="dxa" w:w="9745"/>
            <w:shd w:fill="F9F4EA"/>
            <w:tcMar>
              <w:top w:w="120" w:type="dxa"/>
              <w:start w:w="150" w:type="dxa"/>
              <w:bottom w:w="120" w:type="dxa"/>
              <w:end w:w="150" w:type="dxa"/>
            </w:tcMar>
          </w:tcPr>
          <w:p>
            <w:pPr>
              <w:spacing w:after="40"/>
            </w:pPr>
            <w:r>
              <w:rPr>
                <w:rFonts w:ascii="Times New Roman" w:hAnsi="Times New Roman" w:eastAsia="黑体"/>
                <w:b/>
                <w:color w:val="1F4E79"/>
                <w:sz w:val="21"/>
              </w:rPr>
              <w:t>Caption 草案</w:t>
            </w:r>
          </w:p>
          <w:p>
            <w:pPr>
              <w:spacing w:line="300" w:lineRule="auto" w:after="0"/>
            </w:pPr>
            <w:r>
              <w:rPr>
                <w:rFonts w:ascii="Times New Roman" w:hAnsi="Times New Roman" w:eastAsia="宋体"/>
                <w:sz w:val="19"/>
              </w:rPr>
              <w:t>图4-6  共享退化表示的几何结构与概率—退化位置联合演化。(a–c) 同一64维共享表示在PCA空间中分别按阶段、q与不确定性着色；(d–e) 生命周期上的阶段概率面与置信度—退化位置联合表面。</w:t>
            </w:r>
          </w:p>
        </w:tc>
      </w:tr>
    </w:tbl>
    <w:p>
      <w:pPr>
        <w:spacing w:after="0"/>
      </w:pPr>
    </w:p>
    <w:p>
      <w:r>
        <w:br w:type="page"/>
      </w:r>
    </w:p>
    <w:p>
      <w:pPr>
        <w:pStyle w:val="Heading1"/>
      </w:pPr>
      <w:r>
        <w:t>附录A  当前冻结数据支持的关键结论（供写作与绘图核对）</w:t>
      </w:r>
    </w:p>
    <w:tbl>
      <w:tblPr>
        <w:tblStyle w:val="TableGrid"/>
        <w:tblW w:type="auto" w:w="0"/>
        <w:jc w:val="center"/>
        <w:tblLook w:firstColumn="1" w:firstRow="1" w:lastColumn="0" w:lastRow="0" w:noHBand="0" w:noVBand="1" w:val="04A0"/>
      </w:tblPr>
      <w:tblGrid>
        <w:gridCol w:w="3248"/>
        <w:gridCol w:w="3248"/>
        <w:gridCol w:w="3248"/>
      </w:tblGrid>
      <w:tr>
        <w:trPr>
          <w:cantSplit/>
          <w:tblHeader w:val="true"/>
        </w:trPr>
        <w:tc>
          <w:tcPr>
            <w:tcW w:type="dxa" w:w="3248"/>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证据模块</w:t>
            </w:r>
          </w:p>
        </w:tc>
        <w:tc>
          <w:tcPr>
            <w:tcW w:type="dxa" w:w="3248"/>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分类/识别结论</w:t>
            </w:r>
          </w:p>
        </w:tc>
        <w:tc>
          <w:tcPr>
            <w:tcW w:type="dxa" w:w="3248"/>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7"/>
              </w:rPr>
              <w:t>一致性/语义结论</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D1主比较</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B11 Acc/Macro-F1/M-F1 = 0.9901/0.9902/0.9882；B12=0.9868/0.9871/0.9844。B12分类仅低约0.3–0.4pp；M-Rec相同。</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B12 Smooth=0.01876，为9方法最低；相对B11降低20.5%；Rev=0，Jump=0，M→L=0。</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D2困难工况</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B12相对B11：Acc -0.33pp、M-F1 -0.61pp、M-Rec -0.76pp。</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Smooth进一步下降6.6%。D2由HTT-Net / Dynamic GIN等方法在纯分类上领先，说明target dependence。</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D3工况</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B12相对B11：Acc +0.66pp、M-F1 +1.10pp、M-Rec +1.80pp。</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Smooth较B11略升约5.7%，体现另一种accuracy–consistency trade-off。</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NASA</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B12相对B11：Acc -0.74pp，M-F1 +5.86pp。</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Smooth降低35.0%，Jump降低50%。</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MTW-CM三任务平均</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B12相对B11：Acc -2.98pp，M-F1 +10.04pp。</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Smooth降低23.9%，Jump平均降低82.5%；D1-M/D2-M/D3-M三任务M-F1均提升。</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Ablation</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A1–A4硬分类完全一致；A2/A3/A4已把Smooth降低约11%–16%。</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A5 Smooth比A1低42.4%但分类下降；A6恢复约0.99pp Acc、1.18pp M-F1和1.55pp M-Rec，同时Smooth仍比A1低20.5%。</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Physical semantics</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Early/Middle/Late预测阶段的VB均值=100.55/126.29/205.46 μm，中位数=102.61/123.14/210.39 μm。</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Late平均VB约Early的2.04倍；q_true均值=0.211/0.363/0.829，呈严格单调增加。</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q agreement</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当前最终可视化统计：R²≈0.748，Spearman ρ≈0.963，MAE≈0.113。</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7"/>
              </w:rPr>
              <w:t>适合表述为“强排序一致性 + 后期压缩”，不应写成精确VB回归。</w:t>
            </w:r>
          </w:p>
        </w:tc>
      </w:tr>
    </w:tbl>
    <w:p>
      <w:pPr>
        <w:pStyle w:val="Heading1"/>
      </w:pPr>
      <w:r>
        <w:t>附录B  绘图数据文件索引</w:t>
      </w:r>
    </w:p>
    <w:tbl>
      <w:tblPr>
        <w:tblStyle w:val="TableGrid"/>
        <w:tblW w:type="auto" w:w="0"/>
        <w:jc w:val="center"/>
        <w:tblLook w:firstColumn="1" w:firstRow="1" w:lastColumn="0" w:lastRow="0" w:noHBand="0" w:noVBand="1" w:val="04A0"/>
      </w:tblPr>
      <w:tblGrid>
        <w:gridCol w:w="3248"/>
        <w:gridCol w:w="3248"/>
        <w:gridCol w:w="3248"/>
      </w:tblGrid>
      <w:tr>
        <w:trPr>
          <w:cantSplit/>
          <w:tblHeader w:val="true"/>
        </w:trPr>
        <w:tc>
          <w:tcPr>
            <w:tcW w:type="dxa" w:w="3248"/>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用于新图</w:t>
            </w:r>
          </w:p>
        </w:tc>
        <w:tc>
          <w:tcPr>
            <w:tcW w:type="dxa" w:w="3248"/>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Canonical文件</w:t>
            </w:r>
          </w:p>
        </w:tc>
        <w:tc>
          <w:tcPr>
            <w:tcW w:type="dxa" w:w="3248"/>
            <w:vAlign w:val="center"/>
            <w:tcMar>
              <w:top w:w="70" w:type="dxa"/>
              <w:start w:w="90" w:type="dxa"/>
              <w:bottom w:w="70" w:type="dxa"/>
              <w:end w:w="90" w:type="dxa"/>
            </w:tcMar>
            <w:shd w:fill="D9EAF7"/>
          </w:tcPr>
          <w:p>
            <w:pPr>
              <w:spacing w:after="0" w:line="252" w:lineRule="auto"/>
              <w:jc w:val="center"/>
            </w:pPr>
            <w:r>
              <w:rPr>
                <w:rFonts w:ascii="Times New Roman" w:hAnsi="Times New Roman" w:eastAsia="宋体"/>
                <w:b/>
                <w:sz w:val="16"/>
              </w:rPr>
              <w:t>用途</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图4-2</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paper_data/07_figure_ready/fig1/D1_main_metrics.csv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D1九方法正式指标 + bootstrap CI</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图4-2</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paper_data/07_figure_ready/fig1/accuracy_consistency_points.csv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Accuracy–consistency散点数据</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图4-3</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paper_data/07_figure_ready/fig2/taskwise_absolute.csv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D1/D2/D3九方法绝对指标</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图4-3</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paper_data/07_figure_ready/fig2/taskwise_normalized.csv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任务内归一化数据</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图4-3</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paper_data/07_figure_ready/fig2/taskwise_rank.csv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任务内排名</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图4-3</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paper_data/07_figure_ready/fig3/cross_dataset_deltas.csv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PHM/NASA/MTW的B11→B12差值</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图4-4</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paper_data/07_figure_ready/fig4/A1_A6_absolute.csv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A1–A6权威消融指标</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图4-4</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paper_data/07_figure_ready/fig4/A1_A6_lifecycle_variation.csv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逐生命周期局部概率变化</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图4-4</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paper_data/07_figure_ready/fig4/A1_A6_cumulative_variation.csv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累计概率变化</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图4-4</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paper_data/07_figure_ready/fig4/A1_A6_probability_trajectories.csv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A1–A6逐run概率矩阵</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图4-5</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paper_data/07_figure_ready/fig5/lifecycle_semantics.csv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C6生命周期概率/q/VB语义</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图4-5</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paper_data/07_figure_ready/fig5/simplex_trajectory.csv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probability simplex轨迹</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图4-5</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paper_data/07_figure_ready/fig5/q_agreement.csv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q_true–q_pred逐run配对</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图4-5</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paper_data/07_figure_ready/fig5/wear_by_predicted_stage.csv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按预测阶段聚合的VB/q统计</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图4-6</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paper_data/07_figure_ready/fig5/hidden_representation.csv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304×64共享隐藏表示 + stage/q/uncertainty</w:t>
            </w:r>
          </w:p>
        </w:tc>
      </w:tr>
      <w:tr>
        <w:trPr>
          <w:cantSplit/>
        </w:trPr>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图4-6</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paper_data/07_figure_ready/fig5/lifecycle_semantics.csv</w:t>
            </w:r>
          </w:p>
        </w:tc>
        <w:tc>
          <w:tcPr>
            <w:tcW w:type="dxa" w:w="3248"/>
            <w:vAlign w:val="center"/>
            <w:tcMar>
              <w:top w:w="70" w:type="dxa"/>
              <w:start w:w="90" w:type="dxa"/>
              <w:bottom w:w="70" w:type="dxa"/>
              <w:end w:w="90" w:type="dxa"/>
            </w:tcMar>
          </w:tcPr>
          <w:p>
            <w:pPr>
              <w:spacing w:after="0" w:line="252" w:lineRule="auto"/>
            </w:pPr>
            <w:r>
              <w:rPr>
                <w:rFonts w:ascii="Times New Roman" w:hAnsi="Times New Roman" w:eastAsia="宋体"/>
                <w:sz w:val="16"/>
              </w:rPr>
              <w:t>3D probability/confidence surface数据</w:t>
            </w:r>
          </w:p>
        </w:tc>
      </w:tr>
    </w:tbl>
    <w:tbl>
      <w:tblPr>
        <w:tblW w:type="auto" w:w="0"/>
        <w:jc w:val="center"/>
        <w:tblLayout w:type="autofit"/>
        <w:tblLook w:firstColumn="1" w:firstRow="1" w:lastColumn="0" w:lastRow="0" w:noHBand="0" w:noVBand="1" w:val="04A0"/>
      </w:tblPr>
      <w:tblGrid>
        <w:gridCol w:w="9745"/>
      </w:tblGrid>
      <w:tr>
        <w:tc>
          <w:tcPr>
            <w:tcW w:type="dxa" w:w="9745"/>
            <w:shd w:fill="F4F8FB"/>
            <w:tcMar>
              <w:top w:w="120" w:type="dxa"/>
              <w:start w:w="150" w:type="dxa"/>
              <w:bottom w:w="120" w:type="dxa"/>
              <w:end w:w="150" w:type="dxa"/>
            </w:tcMar>
          </w:tcPr>
          <w:p>
            <w:pPr>
              <w:spacing w:after="40"/>
            </w:pPr>
            <w:r>
              <w:rPr>
                <w:rFonts w:ascii="Times New Roman" w:hAnsi="Times New Roman" w:eastAsia="黑体"/>
                <w:b/>
                <w:color w:val="1F4E79"/>
                <w:sz w:val="21"/>
              </w:rPr>
              <w:t>下一步建议</w:t>
            </w:r>
          </w:p>
          <w:p>
            <w:pPr>
              <w:spacing w:line="300" w:lineRule="auto" w:after="0"/>
            </w:pPr>
            <w:r>
              <w:rPr>
                <w:rFonts w:ascii="Times New Roman" w:hAnsi="Times New Roman" w:eastAsia="宋体"/>
                <w:sz w:val="19"/>
              </w:rPr>
              <w:t>先不要继续增加实验。建议按本稿方案让Codex直接从上述 canonical/figure_ready 文件绘制图4-2至图4-6；先完成版式和视觉统一，再根据最终图中的实际可见趋势微调正文措辞。图4-5和图4-6可以投入最多的视觉设计资源，图4-2和图4-3则以审稿可读性为第一优先级。</w:t>
            </w:r>
          </w:p>
        </w:tc>
      </w:tr>
    </w:tbl>
    <w:p>
      <w:pPr>
        <w:spacing w:after="0"/>
      </w:pPr>
    </w:p>
    <w:sectPr w:rsidR="00FC693F" w:rsidRPr="0006063C" w:rsidSect="00034616">
      <w:pgSz w:w="12240" w:h="15840"/>
      <w:pgMar w:top="1134" w:right="1219"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aSource">
    <w:name w:val="Data Source"/>
    <w:rPr>
      <w:rFonts w:ascii="Times New Roman" w:hAnsi="Times New Roman" w:eastAsia="宋体"/>
      <w:color w:val="6464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