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247F" w14:textId="77777777" w:rsidR="009062DA" w:rsidRPr="009062DA" w:rsidRDefault="009062DA" w:rsidP="009062DA">
      <w:pPr>
        <w:rPr>
          <w:b/>
          <w:bCs/>
        </w:rPr>
      </w:pPr>
      <w:r w:rsidRPr="009062DA">
        <w:rPr>
          <w:b/>
          <w:bCs/>
        </w:rPr>
        <w:t>Investment Memorandum: Confidential</w:t>
      </w:r>
    </w:p>
    <w:p w14:paraId="56E88900" w14:textId="77777777" w:rsidR="009062DA" w:rsidRDefault="009062DA" w:rsidP="009062DA">
      <w:r w:rsidRPr="009062DA">
        <w:rPr>
          <w:b/>
          <w:bCs/>
        </w:rPr>
        <w:t>Silicior: Proposal for a 10 MW Solar Farm in Abu Dhabi July 20, 2025</w:t>
      </w:r>
      <w:r w:rsidRPr="009062DA"/>
      <w:r w:rsidRPr="009062DA">
        <w:rPr>
          <w:b/>
          <w:bCs/>
        </w:rPr>
      </w:r>
      <w:r w:rsidRPr="009062DA"/>
    </w:p>
    <w:p w14:paraId="17C9EE1C" w14:textId="6A221E91" w:rsidR="009062DA" w:rsidRPr="009062DA" w:rsidRDefault="009062DA" w:rsidP="009062DA">
      <w:r w:rsidRPr="009062DA">
        <w:rPr>
          <w:b/>
          <w:bCs/>
        </w:rPr>
        <w:t xml:space="preserve">Modeled by: Youssef Eleyouta </w:t>
      </w:r>
      <w:r>
        <w:rPr>
          <w:b/>
          <w:bCs/>
        </w:rPr>
      </w:r>
      <w:r w:rsidRPr="009062DA"/>
    </w:p>
    <w:p w14:paraId="38C07712" w14:textId="77777777" w:rsidR="009062DA" w:rsidRPr="009062DA" w:rsidRDefault="009062DA" w:rsidP="009062DA">
      <w:r w:rsidRPr="009062DA">
        <w:pict w14:anchorId="7169ACFA">
          <v:rect id="_x0000_i1080" style="width:0;height:1.5pt" o:hralign="center" o:hrstd="t" o:hr="t" fillcolor="#a0a0a0" stroked="f"/>
        </w:pict>
      </w:r>
    </w:p>
    <w:p w14:paraId="4AA4D1A5" w14:textId="47B25DEC" w:rsidR="009062DA" w:rsidRPr="009062DA" w:rsidRDefault="009062DA" w:rsidP="009062DA">
      <w:pPr>
        <w:rPr>
          <w:b/>
          <w:bCs/>
        </w:rPr>
      </w:pPr>
      <w:r w:rsidRPr="009062DA">
        <w:rPr>
          <w:b/>
          <w:bCs/>
        </w:rPr>
        <w:t>1. Executive Summary</w:t>
      </w:r>
    </w:p>
    <w:p w14:paraId="300B7432" w14:textId="77777777" w:rsidR="009062DA" w:rsidRPr="009062DA" w:rsidRDefault="009062DA" w:rsidP="009062DA">
      <w:r w:rsidRPr="009062DA">
        <w:t>This document outlines an investment opportunity to provide AED 120 million in equity capital for the development and construction of Silicior, a hypothetical 10 MW ground-mounted solar farm in Abu Dhabi, UAE. The project revenue is modeled under a 25-year Power Purchase Agreement (PPA) with a fixed tariff of AED 0.275/kWh. Based on the financial model, the project is projected to generate a 37.75% Equity IRR and an NPV of AED 116.5 million.</w:t>
      </w:r>
      <w:r w:rsidRPr="009062DA">
        <w:rPr>
          <w:b/>
          <w:bCs/>
        </w:rPr>
      </w:r>
      <w:r w:rsidRPr="009062DA"/>
      <w:r w:rsidRPr="009062DA">
        <w:rPr>
          <w:b/>
          <w:bCs/>
        </w:rPr>
      </w:r>
      <w:r w:rsidRPr="009062DA"/>
      <w:r w:rsidRPr="009062DA">
        <w:rPr>
          <w:b/>
          <w:bCs/>
        </w:rPr>
      </w:r>
      <w:r w:rsidRPr="009062DA"/>
      <w:r w:rsidRPr="009062DA">
        <w:rPr>
          <w:b/>
          <w:bCs/>
        </w:rPr>
      </w:r>
      <w:r w:rsidRPr="009062DA"/>
      <w:r w:rsidRPr="009062DA">
        <w:rPr>
          <w:b/>
          <w:bCs/>
        </w:rPr>
      </w:r>
      <w:r w:rsidRPr="009062DA"/>
    </w:p>
    <w:p w14:paraId="4275600E" w14:textId="77777777" w:rsidR="009062DA" w:rsidRPr="009062DA" w:rsidRDefault="009062DA" w:rsidP="009062DA">
      <w:r w:rsidRPr="009062DA">
        <w:pict w14:anchorId="7E1DE801">
          <v:rect id="_x0000_i1081" style="width:0;height:1.5pt" o:hralign="center" o:hrstd="t" o:hr="t" fillcolor="#a0a0a0" stroked="f"/>
        </w:pict>
      </w:r>
    </w:p>
    <w:p w14:paraId="2BF2D446" w14:textId="0B24178D" w:rsidR="009062DA" w:rsidRPr="009062DA" w:rsidRDefault="009062DA" w:rsidP="009062DA">
      <w:pPr>
        <w:rPr>
          <w:b/>
          <w:bCs/>
        </w:rPr>
      </w:pPr>
      <w:r w:rsidRPr="009062DA">
        <w:rPr>
          <w:b/>
          <w:bCs/>
        </w:rPr>
        <w:t>2. Project Overview</w:t>
      </w:r>
    </w:p>
    <w:p w14:paraId="1DC65D72" w14:textId="77777777" w:rsidR="009062DA" w:rsidRPr="009062DA" w:rsidRDefault="009062DA" w:rsidP="009062DA">
      <w:pPr>
        <w:numPr>
          <w:ilvl w:val="0"/>
          <w:numId w:val="3"/>
        </w:numPr>
      </w:pPr>
      <w:r w:rsidRPr="009062DA">
        <w:rPr>
          <w:b/>
          <w:bCs/>
        </w:rPr>
        <w:t>Project Description:</w:t>
      </w:r>
      <w:r w:rsidRPr="009062DA">
        <w:t xml:space="preserve"> A 10 MW ground-mounted solar photovoltaic (PV) power plant.</w:t>
      </w:r>
    </w:p>
    <w:p w14:paraId="5DFB93FC" w14:textId="77777777" w:rsidR="009062DA" w:rsidRPr="009062DA" w:rsidRDefault="009062DA" w:rsidP="009062DA">
      <w:pPr>
        <w:numPr>
          <w:ilvl w:val="0"/>
          <w:numId w:val="3"/>
        </w:numPr>
      </w:pPr>
      <w:r w:rsidRPr="009062DA">
        <w:rPr>
          <w:b/>
          <w:bCs/>
        </w:rPr>
        <w:t>Location: Abu Dhabi, UAE, modeled as a high-irradiance solar market with strong suitability for utility-scale photovoltaic assets.</w:t>
      </w:r>
      <w:r w:rsidRPr="009062DA"/>
    </w:p>
    <w:p w14:paraId="176925E2" w14:textId="77777777" w:rsidR="009062DA" w:rsidRPr="009062DA" w:rsidRDefault="009062DA" w:rsidP="009062DA">
      <w:pPr>
        <w:numPr>
          <w:ilvl w:val="0"/>
          <w:numId w:val="3"/>
        </w:numPr>
      </w:pPr>
      <w:r w:rsidRPr="009062DA">
        <w:rPr>
          <w:b/>
          <w:bCs/>
        </w:rPr>
        <w:t>Key Agreement: A 25-year PPA assumption models offtake of generated power at a fixed price, creating stable and predictable revenue streams.</w:t>
      </w:r>
      <w:r w:rsidRPr="009062DA"/>
    </w:p>
    <w:p w14:paraId="37DF01D4" w14:textId="77777777" w:rsidR="009062DA" w:rsidRPr="009062DA" w:rsidRDefault="009062DA" w:rsidP="009062DA">
      <w:r w:rsidRPr="009062DA">
        <w:pict w14:anchorId="5C5A71DC">
          <v:rect id="_x0000_i1082" style="width:0;height:1.5pt" o:hralign="center" o:hrstd="t" o:hr="t" fillcolor="#a0a0a0" stroked="f"/>
        </w:pict>
      </w:r>
    </w:p>
    <w:p w14:paraId="0155FABC" w14:textId="04AC2FF1" w:rsidR="009062DA" w:rsidRPr="009062DA" w:rsidRDefault="009062DA" w:rsidP="009062DA">
      <w:pPr>
        <w:rPr>
          <w:b/>
          <w:bCs/>
        </w:rPr>
      </w:pPr>
      <w:r w:rsidRPr="009062DA">
        <w:rPr>
          <w:b/>
          <w:bCs/>
        </w:rPr>
        <w:t>3. Market Context &amp; Opportunity</w:t>
      </w:r>
    </w:p>
    <w:p w14:paraId="5A80B42B" w14:textId="77777777" w:rsidR="009062DA" w:rsidRPr="009062DA" w:rsidRDefault="009062DA" w:rsidP="009062DA">
      <w:pPr>
        <w:numPr>
          <w:ilvl w:val="0"/>
          <w:numId w:val="4"/>
        </w:numPr>
      </w:pPr>
      <w:r w:rsidRPr="009062DA">
        <w:rPr>
          <w:b/>
          <w:bCs/>
        </w:rPr>
        <w:t>Strong Market Support: The project is modeled in the UAE clean-energy context, where solar, grid investment, and long-term infrastructure planning create a strong setting for project-finance analysis.</w:t>
      </w:r>
      <w:r w:rsidRPr="009062DA"/>
      <w:r w:rsidRPr="009062DA">
        <w:rPr>
          <w:b/>
          <w:bCs/>
        </w:rPr>
      </w:r>
      <w:r w:rsidRPr="009062DA"/>
    </w:p>
    <w:p w14:paraId="168CC678" w14:textId="77777777" w:rsidR="009062DA" w:rsidRPr="009062DA" w:rsidRDefault="009062DA" w:rsidP="009062DA">
      <w:pPr>
        <w:numPr>
          <w:ilvl w:val="0"/>
          <w:numId w:val="4"/>
        </w:numPr>
      </w:pPr>
      <w:r w:rsidRPr="009062DA">
        <w:rPr>
          <w:b/>
          <w:bCs/>
        </w:rPr>
        <w:t>Favorable Cost Trends: The model uses solar cost assumptions, operating costs, debt financing, and downside cases to test how capex, tariff, production, and financing changes affect investor returns.</w:t>
      </w:r>
      <w:r w:rsidRPr="009062DA"/>
    </w:p>
    <w:p w14:paraId="245C30E6" w14:textId="77777777" w:rsidR="0070056C" w:rsidRDefault="009062DA" w:rsidP="009062DA">
      <w:r w:rsidRPr="009062DA">
        <w:pict w14:anchorId="14CEFCBC">
          <v:rect id="_x0000_i1083" style="width:0;height:1.5pt" o:hralign="center" o:hrstd="t" o:hr="t" fillcolor="#a0a0a0" stroked="f"/>
        </w:pict>
      </w:r>
    </w:p>
    <w:p w14:paraId="5F07372B" w14:textId="7F52BE51" w:rsidR="009062DA" w:rsidRPr="009062DA" w:rsidRDefault="009062DA" w:rsidP="009062DA">
      <w:r w:rsidRPr="009062DA">
        <w:rPr>
          <w:b/>
          <w:bCs/>
        </w:rPr>
        <w:lastRenderedPageBreak/>
        <w:t>4. Financial Summary</w:t>
      </w:r>
    </w:p>
    <w:p w14:paraId="32DC506D" w14:textId="77777777" w:rsidR="009062DA" w:rsidRPr="009062DA" w:rsidRDefault="009062DA" w:rsidP="009062DA">
      <w:r w:rsidRPr="009062DA">
        <w:rPr>
          <w:b/>
          <w:bCs/>
        </w:rPr>
        <w:t>4.1. Sources and Uses of Funds The total required capital for the project is AED 400 million, structured with a 70:30 debt-to-equity ratio.</w:t>
      </w:r>
      <w:r w:rsidRPr="009062DA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617"/>
        <w:gridCol w:w="1910"/>
        <w:gridCol w:w="1617"/>
      </w:tblGrid>
      <w:tr w:rsidR="009062DA" w:rsidRPr="009062DA" w14:paraId="2E5C9ACE" w14:textId="77777777" w:rsidTr="001D6CCD">
        <w:tc>
          <w:tcPr>
            <w:tcW w:w="0" w:type="auto"/>
            <w:hideMark/>
          </w:tcPr>
          <w:p w14:paraId="49063D57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Sources of Funds</w:t>
            </w:r>
          </w:p>
        </w:tc>
        <w:tc>
          <w:tcPr>
            <w:tcW w:w="0" w:type="auto"/>
            <w:hideMark/>
          </w:tcPr>
          <w:p>
            <w:r>
              <w:t>Amount (AED M)</w:t>
            </w:r>
          </w:p>
        </w:tc>
        <w:tc>
          <w:tcPr>
            <w:tcW w:w="0" w:type="auto"/>
            <w:hideMark/>
          </w:tcPr>
          <w:p w14:paraId="3D6E76E0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Uses of Funds</w:t>
            </w:r>
          </w:p>
        </w:tc>
        <w:tc>
          <w:tcPr>
            <w:tcW w:w="0" w:type="auto"/>
            <w:hideMark/>
          </w:tcPr>
          <w:p>
            <w:r>
              <w:t>Amount (AED M)</w:t>
            </w:r>
          </w:p>
        </w:tc>
      </w:tr>
      <w:tr w:rsidR="009062DA" w:rsidRPr="009062DA" w14:paraId="5D9B710D" w14:textId="77777777" w:rsidTr="001D6CCD">
        <w:tc>
          <w:tcPr>
            <w:tcW w:w="0" w:type="auto"/>
            <w:hideMark/>
          </w:tcPr>
          <w:p w14:paraId="31AB9E50" w14:textId="77777777" w:rsidR="009062DA" w:rsidRPr="009062DA" w:rsidRDefault="009062DA" w:rsidP="009062DA">
            <w:pPr>
              <w:spacing w:after="160" w:line="278" w:lineRule="auto"/>
            </w:pPr>
            <w:r w:rsidRPr="009062DA">
              <w:t>Equity Capital</w:t>
            </w:r>
          </w:p>
        </w:tc>
        <w:tc>
          <w:tcPr>
            <w:tcW w:w="0" w:type="auto"/>
            <w:hideMark/>
          </w:tcPr>
          <w:p>
            <w:r>
              <w:t>120.0</w:t>
            </w:r>
          </w:p>
        </w:tc>
        <w:tc>
          <w:tcPr>
            <w:tcW w:w="0" w:type="auto"/>
            <w:hideMark/>
          </w:tcPr>
          <w:p w14:paraId="375007BF" w14:textId="77777777" w:rsidR="009062DA" w:rsidRPr="009062DA" w:rsidRDefault="009062DA" w:rsidP="009062DA">
            <w:pPr>
              <w:spacing w:after="160" w:line="278" w:lineRule="auto"/>
            </w:pPr>
            <w:r w:rsidRPr="009062DA">
              <w:t>Total Project Cost</w:t>
            </w:r>
          </w:p>
        </w:tc>
        <w:tc>
          <w:tcPr>
            <w:tcW w:w="0" w:type="auto"/>
            <w:hideMark/>
          </w:tcPr>
          <w:p>
            <w:r>
              <w:t>400.0</w:t>
            </w:r>
          </w:p>
        </w:tc>
      </w:tr>
      <w:tr w:rsidR="009062DA" w:rsidRPr="009062DA" w14:paraId="1BCB98B5" w14:textId="77777777" w:rsidTr="001D6CCD">
        <w:tc>
          <w:tcPr>
            <w:tcW w:w="0" w:type="auto"/>
            <w:hideMark/>
          </w:tcPr>
          <w:p w14:paraId="2F4CE39A" w14:textId="77777777" w:rsidR="009062DA" w:rsidRPr="009062DA" w:rsidRDefault="009062DA" w:rsidP="009062DA">
            <w:pPr>
              <w:spacing w:after="160" w:line="278" w:lineRule="auto"/>
            </w:pPr>
            <w:r w:rsidRPr="009062DA">
              <w:t>Debt Financing</w:t>
            </w:r>
          </w:p>
        </w:tc>
        <w:tc>
          <w:tcPr>
            <w:tcW w:w="0" w:type="auto"/>
            <w:hideMark/>
          </w:tcPr>
          <w:p>
            <w:r>
              <w:t>280.0</w:t>
            </w:r>
          </w:p>
        </w:tc>
        <w:tc>
          <w:tcPr>
            <w:tcW w:w="0" w:type="auto"/>
            <w:hideMark/>
          </w:tcPr>
          <w:p w14:paraId="11161C4A" w14:textId="77777777" w:rsidR="009062DA" w:rsidRPr="009062DA" w:rsidRDefault="009062DA" w:rsidP="009062D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47F696" w14:textId="77777777" w:rsidR="009062DA" w:rsidRPr="009062DA" w:rsidRDefault="009062DA" w:rsidP="009062DA">
            <w:pPr>
              <w:spacing w:after="160" w:line="278" w:lineRule="auto"/>
            </w:pPr>
          </w:p>
        </w:tc>
      </w:tr>
      <w:tr w:rsidR="009062DA" w:rsidRPr="009062DA" w14:paraId="30586175" w14:textId="77777777" w:rsidTr="001D6CCD">
        <w:tc>
          <w:tcPr>
            <w:tcW w:w="0" w:type="auto"/>
            <w:hideMark/>
          </w:tcPr>
          <w:p w14:paraId="6CAE24C7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Total Sources</w:t>
            </w:r>
          </w:p>
        </w:tc>
        <w:tc>
          <w:tcPr>
            <w:tcW w:w="0" w:type="auto"/>
            <w:hideMark/>
          </w:tcPr>
          <w:p>
            <w:r>
              <w:t>400.0</w:t>
            </w:r>
          </w:p>
        </w:tc>
        <w:tc>
          <w:tcPr>
            <w:tcW w:w="0" w:type="auto"/>
            <w:hideMark/>
          </w:tcPr>
          <w:p w14:paraId="1495F9FE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Total Uses</w:t>
            </w:r>
          </w:p>
        </w:tc>
        <w:tc>
          <w:tcPr>
            <w:tcW w:w="0" w:type="auto"/>
            <w:hideMark/>
          </w:tcPr>
          <w:p>
            <w:r>
              <w:t>400.0</w:t>
            </w:r>
          </w:p>
        </w:tc>
      </w:tr>
    </w:tbl>
    <w:p w14:paraId="499F87D1" w14:textId="4975726A" w:rsidR="009062DA" w:rsidRPr="009062DA" w:rsidRDefault="009062DA" w:rsidP="009062DA"/>
    <w:p w14:paraId="082A2D41" w14:textId="77777777" w:rsidR="009062DA" w:rsidRPr="009062DA" w:rsidRDefault="009062DA" w:rsidP="009062DA">
      <w:r w:rsidRPr="009062DA">
        <w:rPr>
          <w:b/>
          <w:bCs/>
        </w:rPr>
        <w:t>4.2. Key Financial Metrics</w:t>
      </w:r>
      <w:r w:rsidRPr="009062DA">
        <w:t xml:space="preserve"> The project demonstrates robust financial returns for equity investors.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1363"/>
      </w:tblGrid>
      <w:tr w:rsidR="009062DA" w:rsidRPr="009062DA" w14:paraId="2A79A3AE" w14:textId="77777777" w:rsidTr="001D6CCD">
        <w:tc>
          <w:tcPr>
            <w:tcW w:w="0" w:type="auto"/>
            <w:hideMark/>
          </w:tcPr>
          <w:p w14:paraId="5516BF4C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4B5B8A6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Value</w:t>
            </w:r>
          </w:p>
        </w:tc>
      </w:tr>
      <w:tr w:rsidR="009062DA" w:rsidRPr="009062DA" w14:paraId="58FA4DC5" w14:textId="77777777" w:rsidTr="001D6CCD">
        <w:tc>
          <w:tcPr>
            <w:tcW w:w="0" w:type="auto"/>
            <w:hideMark/>
          </w:tcPr>
          <w:p w14:paraId="178908DB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Equity IRR</w:t>
            </w:r>
          </w:p>
        </w:tc>
        <w:tc>
          <w:tcPr>
            <w:tcW w:w="0" w:type="auto"/>
            <w:hideMark/>
          </w:tcPr>
          <w:p w14:paraId="7F256756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37.75%</w:t>
            </w:r>
          </w:p>
        </w:tc>
      </w:tr>
      <w:tr w:rsidR="009062DA" w:rsidRPr="009062DA" w14:paraId="5F2DD5C8" w14:textId="77777777" w:rsidTr="001D6CCD">
        <w:tc>
          <w:tcPr>
            <w:tcW w:w="0" w:type="auto"/>
            <w:hideMark/>
          </w:tcPr>
          <w:p w14:paraId="15865E67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Net Present Value (NPV)</w:t>
            </w:r>
          </w:p>
        </w:tc>
        <w:tc>
          <w:tcPr>
            <w:tcW w:w="0" w:type="auto"/>
            <w:hideMark/>
          </w:tcPr>
          <w:p>
            <w:r>
              <w:t>AED 116.5 million</w:t>
            </w:r>
          </w:p>
        </w:tc>
      </w:tr>
      <w:tr w:rsidR="009062DA" w:rsidRPr="009062DA" w14:paraId="124D15E1" w14:textId="77777777" w:rsidTr="001D6CCD">
        <w:tc>
          <w:tcPr>
            <w:tcW w:w="0" w:type="auto"/>
            <w:hideMark/>
          </w:tcPr>
          <w:p w14:paraId="7C6F45D9" w14:textId="77777777" w:rsidR="009062DA" w:rsidRPr="009062DA" w:rsidRDefault="009062DA" w:rsidP="009062DA">
            <w:pPr>
              <w:spacing w:after="160" w:line="278" w:lineRule="auto"/>
            </w:pPr>
            <w:r w:rsidRPr="009062DA">
              <w:rPr>
                <w:b/>
                <w:bCs/>
              </w:rPr>
              <w:t>Payback Period</w:t>
            </w:r>
          </w:p>
        </w:tc>
        <w:tc>
          <w:tcPr>
            <w:tcW w:w="0" w:type="auto"/>
            <w:hideMark/>
          </w:tcPr>
          <w:p w14:paraId="53D7A11F" w14:textId="18F7FB4E" w:rsidR="009062DA" w:rsidRPr="009062DA" w:rsidRDefault="003D53A2" w:rsidP="009062DA">
            <w:pPr>
              <w:spacing w:after="160" w:line="278" w:lineRule="auto"/>
            </w:pPr>
            <w:r>
              <w:rPr>
                <w:b/>
                <w:bCs/>
              </w:rPr>
              <w:t>2</w:t>
            </w:r>
            <w:r w:rsidR="009062DA" w:rsidRPr="009062DA">
              <w:rPr>
                <w:b/>
                <w:bCs/>
              </w:rPr>
              <w:t xml:space="preserve"> Years</w:t>
            </w:r>
          </w:p>
        </w:tc>
      </w:tr>
    </w:tbl>
    <w:p w14:paraId="324D16A1" w14:textId="0E70B331" w:rsidR="009062DA" w:rsidRPr="009062DA" w:rsidRDefault="009062DA" w:rsidP="009062DA"/>
    <w:p w14:paraId="5269F9AD" w14:textId="77777777" w:rsidR="009062DA" w:rsidRPr="009062DA" w:rsidRDefault="009062DA" w:rsidP="009062DA">
      <w:r w:rsidRPr="009062DA">
        <w:rPr>
          <w:b/>
          <w:bCs/>
        </w:rPr>
        <w:t>4.3. Key Assumption Rationale</w:t>
      </w:r>
    </w:p>
    <w:p w14:paraId="469C3DDC" w14:textId="77777777" w:rsidR="009062DA" w:rsidRPr="009062DA" w:rsidRDefault="009062DA" w:rsidP="009062DA">
      <w:pPr>
        <w:numPr>
          <w:ilvl w:val="0"/>
          <w:numId w:val="5"/>
        </w:numPr>
      </w:pPr>
      <w:r w:rsidRPr="009062DA">
        <w:rPr>
          <w:b/>
          <w:bCs/>
        </w:rPr>
        <w:t>PPA Tariff: The assumed tariff of AED 0.275/kWh is used as the model revenue driver and is stress-tested under downside cases.</w:t>
      </w:r>
      <w:r w:rsidRPr="009062DA"/>
      <w:r w:rsidRPr="009062DA">
        <w:rPr>
          <w:b/>
          <w:bCs/>
        </w:rPr>
      </w:r>
      <w:r w:rsidRPr="009062DA"/>
    </w:p>
    <w:p w14:paraId="72FDFCDB" w14:textId="77777777" w:rsidR="009062DA" w:rsidRPr="009062DA" w:rsidRDefault="009062DA" w:rsidP="009062DA">
      <w:pPr>
        <w:numPr>
          <w:ilvl w:val="0"/>
          <w:numId w:val="5"/>
        </w:numPr>
      </w:pPr>
      <w:r w:rsidRPr="009062DA">
        <w:rPr>
          <w:b/>
          <w:bCs/>
        </w:rPr>
        <w:t>Capital Cost (CAPEX): The projected CAPEX of AED 40 million/MW is used to model project cost, debt sizing, cash flows, and equity returns for a 10 MW Abu Dhabi solar asset.</w:t>
      </w:r>
      <w:r w:rsidRPr="009062DA"/>
      <w:r w:rsidRPr="009062DA">
        <w:rPr>
          <w:b/>
          <w:bCs/>
        </w:rPr>
      </w:r>
      <w:r w:rsidRPr="009062DA"/>
    </w:p>
    <w:p w14:paraId="14DA58E5" w14:textId="77777777" w:rsidR="009062DA" w:rsidRPr="009062DA" w:rsidRDefault="009062DA" w:rsidP="009062DA">
      <w:r w:rsidRPr="009062DA">
        <w:rPr>
          <w:b/>
          <w:bCs/>
        </w:rPr>
        <w:t>4.4. Projected Financials</w:t>
      </w:r>
      <w:r w:rsidRPr="009062DA">
        <w:t xml:space="preserve"> The project is projected to be profitable, with stable cash flows generated over the 25-year PPA term.</w:t>
      </w:r>
    </w:p>
    <w:p w14:paraId="3022FED4" w14:textId="137BECE9" w:rsidR="009062DA" w:rsidRPr="009062DA" w:rsidRDefault="0070056C" w:rsidP="009062DA">
      <w:r w:rsidRPr="0070056C">
        <w:rPr>
          <w:b/>
          <w:bCs/>
        </w:rPr>
        <w:lastRenderedPageBreak/>
        <w:drawing>
          <wp:inline distT="0" distB="0" distL="0" distR="0" wp14:anchorId="767B1909" wp14:editId="23120388">
            <wp:extent cx="5731510" cy="2388870"/>
            <wp:effectExtent l="19050" t="19050" r="21590" b="11430"/>
            <wp:docPr id="64951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1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056C">
        <w:rPr>
          <w:b/>
          <w:bCs/>
        </w:rPr>
        <w:t xml:space="preserve"> </w:t>
      </w:r>
      <w:r w:rsidRPr="0070056C">
        <w:rPr>
          <w:b/>
          <w:bCs/>
        </w:rPr>
        <w:drawing>
          <wp:inline distT="0" distB="0" distL="0" distR="0" wp14:anchorId="143C4F7C" wp14:editId="5587E946">
            <wp:extent cx="5731510" cy="2356485"/>
            <wp:effectExtent l="19050" t="19050" r="21590" b="24765"/>
            <wp:docPr id="21118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4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6DF03" w14:textId="77777777" w:rsidR="009062DA" w:rsidRPr="009062DA" w:rsidRDefault="009062DA" w:rsidP="009062DA">
      <w:r w:rsidRPr="009062DA">
        <w:pict w14:anchorId="63C27CC8">
          <v:rect id="_x0000_i1084" style="width:0;height:1.5pt" o:hralign="center" o:hrstd="t" o:hr="t" fillcolor="#a0a0a0" stroked="f"/>
        </w:pict>
      </w:r>
    </w:p>
    <w:p w14:paraId="3BF64152" w14:textId="7FCCAA9D" w:rsidR="009062DA" w:rsidRPr="009062DA" w:rsidRDefault="009062DA" w:rsidP="009062DA">
      <w:pPr>
        <w:rPr>
          <w:b/>
          <w:bCs/>
        </w:rPr>
      </w:pPr>
      <w:r w:rsidRPr="009062DA">
        <w:rPr>
          <w:b/>
          <w:bCs/>
        </w:rPr>
        <w:t>5. Risk Analysis &amp; Mitigation</w:t>
      </w:r>
    </w:p>
    <w:p w14:paraId="7134A859" w14:textId="77777777" w:rsidR="009062DA" w:rsidRPr="009062DA" w:rsidRDefault="009062DA" w:rsidP="009062DA">
      <w:r w:rsidRPr="009062DA">
        <w:t>A summary of key risks and the strategies in place to mitigate them.</w:t>
      </w:r>
    </w:p>
    <w:p w14:paraId="0C2B5C11" w14:textId="77777777" w:rsidR="009062DA" w:rsidRPr="009062DA" w:rsidRDefault="009062DA" w:rsidP="009062DA">
      <w:pPr>
        <w:numPr>
          <w:ilvl w:val="0"/>
          <w:numId w:val="6"/>
        </w:numPr>
      </w:pPr>
      <w:r w:rsidRPr="009062DA">
        <w:rPr>
          <w:b/>
          <w:bCs/>
        </w:rPr>
        <w:t>Construction Risk:</w:t>
      </w:r>
      <w:r w:rsidRPr="009062DA">
        <w:t xml:space="preserve"> Risk of delays or cost overruns.</w:t>
      </w:r>
    </w:p>
    <w:p w14:paraId="7677A3DB" w14:textId="77777777" w:rsidR="009062DA" w:rsidRPr="009062DA" w:rsidRDefault="009062DA" w:rsidP="009062DA">
      <w:pPr>
        <w:numPr>
          <w:ilvl w:val="1"/>
          <w:numId w:val="6"/>
        </w:numPr>
      </w:pPr>
      <w:r w:rsidRPr="009062DA">
        <w:rPr>
          <w:b/>
          <w:bCs/>
        </w:rPr>
        <w:t>Mitigation:</w:t>
      </w:r>
      <w:r w:rsidRPr="009062DA">
        <w:t xml:space="preserve"> Hiring an experienced EPC (Engineering, Procurement, and Construction) contractor with a fixed-price, date-certain contract.</w:t>
      </w:r>
    </w:p>
    <w:p w14:paraId="66D604CA" w14:textId="77777777" w:rsidR="009062DA" w:rsidRPr="009062DA" w:rsidRDefault="009062DA" w:rsidP="009062DA">
      <w:pPr>
        <w:numPr>
          <w:ilvl w:val="0"/>
          <w:numId w:val="6"/>
        </w:numPr>
      </w:pPr>
      <w:r w:rsidRPr="009062DA">
        <w:rPr>
          <w:b/>
          <w:bCs/>
        </w:rPr>
        <w:t>Operational Risk:</w:t>
      </w:r>
      <w:r w:rsidRPr="009062DA">
        <w:t xml:space="preserve"> Risk of the plant generating less electricity than expected.</w:t>
      </w:r>
    </w:p>
    <w:p w14:paraId="3B829984" w14:textId="77777777" w:rsidR="009062DA" w:rsidRPr="009062DA" w:rsidRDefault="009062DA" w:rsidP="009062DA">
      <w:pPr>
        <w:numPr>
          <w:ilvl w:val="1"/>
          <w:numId w:val="6"/>
        </w:numPr>
      </w:pPr>
      <w:r w:rsidRPr="009062DA">
        <w:rPr>
          <w:b/>
          <w:bCs/>
        </w:rPr>
        <w:t>Mitigation:</w:t>
      </w:r>
      <w:r w:rsidRPr="009062DA">
        <w:t xml:space="preserve"> Using Tier-1 equipment suppliers with performance guarantees; having a professional O&amp;M (Operations &amp; Maintenance) team.</w:t>
      </w:r>
    </w:p>
    <w:p w14:paraId="1C483885" w14:textId="77777777" w:rsidR="009062DA" w:rsidRPr="009062DA" w:rsidRDefault="009062DA" w:rsidP="009062DA">
      <w:pPr>
        <w:numPr>
          <w:ilvl w:val="0"/>
          <w:numId w:val="6"/>
        </w:numPr>
      </w:pPr>
      <w:r w:rsidRPr="009062DA">
        <w:rPr>
          <w:b/>
          <w:bCs/>
        </w:rPr>
        <w:t>Counterparty Risk:</w:t>
      </w:r>
      <w:r w:rsidRPr="009062DA">
        <w:t xml:space="preserve"> Risk of the entity buying the power failing to pay.</w:t>
      </w:r>
    </w:p>
    <w:p w14:paraId="19ACF872" w14:textId="77777777" w:rsidR="009062DA" w:rsidRPr="009062DA" w:rsidRDefault="009062DA" w:rsidP="009062DA">
      <w:pPr>
        <w:numPr>
          <w:ilvl w:val="1"/>
          <w:numId w:val="6"/>
        </w:numPr>
      </w:pPr>
      <w:r w:rsidRPr="009062DA">
        <w:rPr>
          <w:b/>
          <w:bCs/>
        </w:rPr>
        <w:t>Mitigation: The model assumes a creditworthy long-term offtaker, fixed-tariff contract structure, and standard lender protections to reduce counterparty and revenue risk.</w:t>
      </w:r>
      <w:r w:rsidRPr="009062DA"/>
      <w:r w:rsidRPr="009062DA">
        <w:rPr>
          <w:b/>
          <w:bCs/>
        </w:rPr>
      </w:r>
      <w:r w:rsidRPr="009062DA"/>
    </w:p>
    <w:p>
      <w:r>
        <w:rPr>
          <w:i/>
          <w:sz w:val="18"/>
        </w:rPr>
        <w:t>Portfolio note: Based on a public fork; rebuilt, renamed, and customized for portfolio learning.</w:t>
      </w:r>
    </w:p>
    <w:sectPr w:rsidR="009062DA" w:rsidRPr="00906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C57"/>
    <w:multiLevelType w:val="multilevel"/>
    <w:tmpl w:val="E75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0442F"/>
    <w:multiLevelType w:val="multilevel"/>
    <w:tmpl w:val="0866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E7DC8"/>
    <w:multiLevelType w:val="multilevel"/>
    <w:tmpl w:val="816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C0F44"/>
    <w:multiLevelType w:val="multilevel"/>
    <w:tmpl w:val="C3A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53A61"/>
    <w:multiLevelType w:val="multilevel"/>
    <w:tmpl w:val="CCB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66FC4"/>
    <w:multiLevelType w:val="multilevel"/>
    <w:tmpl w:val="207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51191">
    <w:abstractNumId w:val="4"/>
  </w:num>
  <w:num w:numId="2" w16cid:durableId="1277827447">
    <w:abstractNumId w:val="0"/>
  </w:num>
  <w:num w:numId="3" w16cid:durableId="1624270313">
    <w:abstractNumId w:val="5"/>
  </w:num>
  <w:num w:numId="4" w16cid:durableId="41296565">
    <w:abstractNumId w:val="2"/>
  </w:num>
  <w:num w:numId="5" w16cid:durableId="1626697592">
    <w:abstractNumId w:val="3"/>
  </w:num>
  <w:num w:numId="6" w16cid:durableId="185939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D6"/>
    <w:rsid w:val="001C6ED6"/>
    <w:rsid w:val="001D6CCD"/>
    <w:rsid w:val="003D53A2"/>
    <w:rsid w:val="00610AE9"/>
    <w:rsid w:val="0070056C"/>
    <w:rsid w:val="009062DA"/>
    <w:rsid w:val="00B8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FDA5"/>
  <w15:chartTrackingRefBased/>
  <w15:docId w15:val="{210260E3-3005-44A6-B273-B2909CA7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6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3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14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6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7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9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3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96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00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24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4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2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69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Baishya</dc:creator>
  <cp:keywords/>
  <dc:description/>
  <cp:lastModifiedBy>Priyam Baishya</cp:lastModifiedBy>
  <cp:revision>4</cp:revision>
  <dcterms:created xsi:type="dcterms:W3CDTF">2025-07-20T07:51:00Z</dcterms:created>
  <dcterms:modified xsi:type="dcterms:W3CDTF">2025-07-20T23:28:00Z</dcterms:modified>
</cp:coreProperties>
</file>