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73D94"/>
          <w:sz w:val="40"/>
        </w:rPr>
        <w:t>关键帧优化与记忆层级证据链评估报告</w:t>
      </w:r>
    </w:p>
    <w:p>
      <w:pPr>
        <w:jc w:val="center"/>
      </w:pPr>
      <w:r>
        <w:rPr>
          <w:color w:val="5A6991"/>
          <w:sz w:val="22"/>
        </w:rPr>
        <w:t>当前全量结果、指标解释与媒体召回率 26% → 50% 提升路径</w:t>
      </w:r>
    </w:p>
    <w:p>
      <w:pPr>
        <w:spacing w:after="100" w:line="276" w:lineRule="auto"/>
      </w:pPr>
      <w:r>
        <w:t>评测 run：20260902-154953-album3-max-video10-qwen3-vl-4b-reuse-476c69；数据范围：album_57a2127986d2；更新时间：2026-09-04</w:t>
      </w:r>
    </w:p>
    <w:p>
      <w:pPr>
        <w:pStyle w:val="Heading1"/>
        <w:spacing w:before="200" w:after="80"/>
      </w:pPr>
      <w:r>
        <w:t>一、结论摘要</w:t>
      </w:r>
    </w:p>
    <w:p>
      <w:pPr>
        <w:spacing w:after="100" w:line="276" w:lineRule="auto"/>
      </w:pPr>
      <w:r>
        <w:t>当前全量 run 为 487 道 QA、344 个原始媒体和 10 个源视频。页面列表中的当前媒体召回率为 40.7%（micro），相对 50% 目标还差 9.3 个百分点；按题目等权宏平均计算为 51.8%。上周的 26% 是历史正确率基线，不与媒体召回率直接横比。</w:t>
      </w:r>
    </w:p>
    <w:p>
      <w:pPr>
        <w:spacing w:after="100" w:line="276" w:lineRule="auto"/>
      </w:pPr>
      <w:r>
        <w:t>当前 full run 的 exact accuracy 另为 20.0%，core accuracy 为 38.5%，它们是最终回答质量指标；9 月 1 日 10/10 小样本复用 run 的媒体召回率 55.6% 也不能与本次 487 题全量结果直接比较。</w:t>
      </w:r>
    </w:p>
    <w:p>
      <w:pPr>
        <w:spacing w:after="100" w:line="276" w:lineRule="auto"/>
      </w:pPr>
      <w:r>
        <w:t>关键帧工程指标已可复核：原始视频约 2074 帧保留 33 帧，保留率 1.6%、压缩率 98.4%；源视频父级召回 70.7%，候选关键帧精确率 29.0%，最终返回精确率 61.0%，平均间隔 2.4 秒。</w:t>
      </w:r>
    </w:p>
    <w:p>
      <w:pPr>
        <w:spacing w:after="100" w:line="276" w:lineRule="auto"/>
      </w:pPr>
      <w:r>
        <w:t>旧视频处理累计耗时 686.219 秒，包含视频抽帧、关键帧视觉解析、事件记忆构建和事件摘要，不包含 QA 检索；原始视频总时长 86.42 秒，对应 0.126× 实时，明显慢于 2× 目标。</w:t>
      </w:r>
    </w:p>
    <w:p>
      <w:pPr>
        <w:pStyle w:val="Heading1"/>
        <w:spacing w:before="200" w:after="80"/>
      </w:pPr>
      <w:r>
        <w:t>二、26% 基线、当前结果与 50% 目标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95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baseline-current-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图 1：口径对照。蓝柱是上周历史正确率基线 26%；绿柱是当前 487 题全量媒体召回率 40.7%（micro）；红柱是媒体召回率 50% 目标。当前 exact accuracy 20.0% 单独记录，不放入同一组对比。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16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16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与当前差距</w:t>
            </w:r>
          </w:p>
        </w:tc>
        <w:tc>
          <w:tcPr>
            <w:tcW w:type="dxa" w:w="432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上周历史基线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26.0% 正确率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不可直接换算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质量指标基线；需固定题集、模型和 Judge 才能同比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当前 full run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40.7% 媒体召回率（micro）；51.8%（macro）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距 50% 差 9.3 个百分点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页面列表按 micro 展示；反映检索漏召回情况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当前回答质量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20.0% exact；38.5% core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独立指标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反映最终答案，不与媒体召回率混用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下一阶段目标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50.0% 媒体召回率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+9.3 个百分点（相对当前 micro）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需在同一全量题集和同一统计口径下验收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小样本参考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55.6% 媒体召回率（10/10）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不可与全量横比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9 月 1 日 compact10q 复用测评，仅作参考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三、关键帧和视频处理指标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72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288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分子/分母或公式</w:t>
            </w:r>
          </w:p>
        </w:tc>
        <w:tc>
          <w:tcPr>
            <w:tcW w:type="dxa" w:w="3456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实际含义</w:t>
            </w:r>
          </w:p>
        </w:tc>
      </w:tr>
      <w:tr>
        <w:tc>
          <w:tcPr>
            <w:tcW w:type="dxa" w:w="201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关键帧保留/压缩</w:t>
            </w:r>
          </w:p>
        </w:tc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1.6% / 98.4%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33 / 2074；1 − 33/2074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降低后续视觉调用量，但过度压缩会漏掉场景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父视频召回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70.7%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87 / 123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GT 所需源视频是否至少被一个关键帧代表</w:t>
            </w:r>
          </w:p>
        </w:tc>
      </w:tr>
      <w:tr>
        <w:tc>
          <w:tcPr>
            <w:tcW w:type="dxa" w:w="201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候选精确率</w:t>
            </w:r>
          </w:p>
        </w:tc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29.0%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254 / 875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候选池中的相关帧比例，低表示检索噪声大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最终精确率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61.0%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153 / 251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重排后实际返回关键帧的有效比例</w:t>
            </w:r>
          </w:p>
        </w:tc>
      </w:tr>
      <w:tr>
        <w:tc>
          <w:tcPr>
            <w:tcW w:type="dxa" w:w="201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采样时间</w:t>
            </w:r>
          </w:p>
        </w:tc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2.4s / 5.5s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平均间隔 / 平均跨度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采样密度和单视频时间覆盖范围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视频处理速度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0.126× 实时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86.42 / 686.219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每处理 1 秒原视频平均耗时约 7.94 秒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t>速度边界：86.42 秒原视频要达到 2× 实时，完整视频处理必须不超过 43.21 秒。686.219 秒不是单纯抽帧耗时，其中包含 33 次关键帧 VLM 解析累计约 951.9 秒（当时以 2 路并发运行）以及事件摘要等记忆写入。</w:t>
      </w:r>
    </w:p>
    <w:p>
      <w:pPr>
        <w:pStyle w:val="Heading1"/>
        <w:spacing w:before="200" w:after="80"/>
      </w:pPr>
      <w:r>
        <w:t>四、记忆层级和证据链</w:t>
      </w:r>
    </w:p>
    <w:p>
      <w:pPr>
        <w:spacing w:after="100" w:line="276" w:lineRule="auto"/>
      </w:pPr>
      <w:r>
        <w:t>图 2 将同一套记忆层级拆成两条需要同时审计的链路：左侧是原始创建链路，右侧是测评时生效链路。左侧回答“记忆是否被正确创建”，右侧回答“本题是否真正使用了正确记忆”。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65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evidence-dual-ch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图 2：双链路证据结构。每个色带代表 L0～L4+，色带中的块代表该层可追溯的证据节点，箭头代表上一层输出作为下一层输入；详细字段和页面点击入口见下表。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4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144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层级转换</w:t>
            </w:r>
          </w:p>
        </w:tc>
        <w:tc>
          <w:tcPr>
            <w:tcW w:type="dxa" w:w="3024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实际输入 → 输出</w:t>
            </w:r>
          </w:p>
        </w:tc>
        <w:tc>
          <w:tcPr>
            <w:tcW w:type="dxa" w:w="288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证据字段</w:t>
            </w:r>
          </w:p>
        </w:tc>
        <w:tc>
          <w:tcPr>
            <w:tcW w:type="dxa" w:w="216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点击后查看</w:t>
            </w:r>
          </w:p>
        </w:tc>
      </w:tr>
      <w:tr>
        <w:tc>
          <w:tcPr>
            <w:tcW w:type="dxa" w:w="144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原始创建</w:t>
            </w:r>
          </w:p>
        </w:tc>
        <w:tc>
          <w:tcPr>
            <w:tcW w:type="dxa" w:w="144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L0 → L1</w:t>
            </w:r>
          </w:p>
        </w:tc>
        <w:tc>
          <w:tcPr>
            <w:tcW w:type="dxa" w:w="302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照片/视频/关键帧 → 场景观察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asset_id、parent_asset_id、source_timestamp_sec、observation.preview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原始图、关键帧、视觉描述、OCR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原始创建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L1 → L2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观察/OCR/人物/动作 → 事件上下文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event_context.id、time_start/end、place、related_media_ids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事件语句、时间、地点、关联媒体</w:t>
            </w:r>
          </w:p>
        </w:tc>
      </w:tr>
      <w:tr>
        <w:tc>
          <w:tcPr>
            <w:tcW w:type="dxa" w:w="144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原始创建</w:t>
            </w:r>
          </w:p>
        </w:tc>
        <w:tc>
          <w:tcPr>
            <w:tcW w:type="dxa" w:w="144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L2 → L4+</w:t>
            </w:r>
          </w:p>
        </w:tc>
        <w:tc>
          <w:tcPr>
            <w:tcW w:type="dxa" w:w="302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事件与实体 → 总结/记忆卡片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event_id、实体、摘要、来源媒体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总结文本和来源证据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测评生效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问题 → L1/L2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问题槽位 → 工具查询与候选结果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question、query_anchors、tool_trace、result_set_id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查询语句、工具参数、返回 JSON</w:t>
            </w:r>
          </w:p>
        </w:tc>
      </w:tr>
      <w:tr>
        <w:tc>
          <w:tcPr>
            <w:tcW w:type="dxa" w:w="144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测评生效</w:t>
            </w:r>
          </w:p>
        </w:tc>
        <w:tc>
          <w:tcPr>
            <w:tcW w:type="dxa" w:w="144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L2 → L3</w:t>
            </w:r>
          </w:p>
        </w:tc>
        <w:tc>
          <w:tcPr>
            <w:tcW w:type="dxa" w:w="302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事件/媒体 → 证据需求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evidence_refs、provenance_refs、answer_evidence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证据账本、满足状态、来源图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测评生效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L3 → L4+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证据引用 → 回答/Judge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final_answer、answer_claims、judge、grounding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回答、声明、评分理由和执行轨迹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t>关键帧仍属于 L0 的视频派生媒体，不直接等同于事件；关键帧上的描述、OCR、人物和动作进入 L1；多个媒体按时间、地点和实体聚合成 L2；问题再拆成时间、事件、地点、人物和场景证据需求，形成 L3；最终答案和 Judge 结果在 L4+。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752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当前页面证据</w:t>
            </w:r>
          </w:p>
        </w:tc>
        <w:tc>
          <w:tcPr>
            <w:tcW w:type="dxa" w:w="432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应回答的问题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L0 原始流</w:t>
            </w:r>
          </w:p>
        </w:tc>
        <w:tc>
          <w:tcPr>
            <w:tcW w:type="dxa" w:w="475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344 个原始媒体；10 个源视频；33 个关键帧；parent_asset_id 和时间戳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原始媒体和关键帧是否可追溯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L1 场景图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inspect_photo 调用/成功率、OCR 调用、场景观察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画面、文字、人物和动作是否被解析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L2 事件层</w:t>
            </w:r>
          </w:p>
        </w:tc>
        <w:tc>
          <w:tcPr>
            <w:tcW w:type="dxa" w:w="475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149 个 QA 轨迹事件上下文；事件与媒体关联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多个媒体是否聚合为同一事件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L3 目标/规则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满足/总证据需求、规划决策数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时间/地点/人物/场景要求是否被满足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L4+ 总结/回答</w:t>
            </w:r>
          </w:p>
        </w:tc>
        <w:tc>
          <w:tcPr>
            <w:tcW w:type="dxa" w:w="475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Judge 均分、exact/core accuracy、完成进度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证据是否真正支持最终答案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t>文字流程图：源视频和关键帧（L0） → 视觉观察/OCR/人物/动作（L1） → 时间地点事件聚合（L2） → 问题目标与证据账本（L3） → 总结、回答和评分（L4+）。</w:t>
      </w:r>
    </w:p>
    <w:p>
      <w:pPr>
        <w:pStyle w:val="Heading1"/>
        <w:spacing w:before="200" w:after="80"/>
      </w:pPr>
      <w:r>
        <w:t>五、从 26% 提升到 50% 的具体点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提升点</w:t>
            </w:r>
          </w:p>
        </w:tc>
        <w:tc>
          <w:tcPr>
            <w:tcW w:type="dxa" w:w="3168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当前问题</w:t>
            </w:r>
          </w:p>
        </w:tc>
        <w:tc>
          <w:tcPr>
            <w:tcW w:type="dxa" w:w="216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目标/验收</w:t>
            </w:r>
          </w:p>
        </w:tc>
        <w:tc>
          <w:tcPr>
            <w:tcW w:type="dxa" w:w="3456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实施动作</w:t>
            </w:r>
          </w:p>
        </w:tc>
      </w:tr>
      <w:tr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候选检索</w:t>
            </w:r>
          </w:p>
        </w:tc>
        <w:tc>
          <w:tcPr>
            <w:tcW w:type="dxa" w:w="3168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候选精确率仅 29.0%，无关帧混入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 P ≥ 50%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父视频、时间窗口、地点/事件槽位联合重排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关键帧覆盖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父视频召回 70.7%，仍有漏视频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召回保持 ≥ 80%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按场景切换和时间问题自适应增加代表帧</w:t>
            </w:r>
          </w:p>
        </w:tc>
      </w:tr>
      <w:tr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文字证据</w:t>
            </w:r>
          </w:p>
        </w:tc>
        <w:tc>
          <w:tcPr>
            <w:tcW w:type="dxa" w:w="3168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横幅、合影文字等容易漏检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OCR 证据可回溯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L1 单独保存 OCR 文本、区域、置信度和来源帧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事件聚合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婚礼等相邻场景可能被错误混合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事件按时间/地点/实体分组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保留 source_timestamp、scene_index，增加事件边界约束</w:t>
            </w:r>
          </w:p>
        </w:tc>
      </w:tr>
      <w:tr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回答利用</w:t>
            </w:r>
          </w:p>
        </w:tc>
        <w:tc>
          <w:tcPr>
            <w:tcW w:type="dxa" w:w="3168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关键帧候选题均分低于无关键帧题 0.0393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paired replay 后正向提升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相同题目分别比较关键帧/非关键帧，排除题型偏差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评测口径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26% 正确率、40.7% 媒体召回率、20.0% exact 分属不同指标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媒体召回率 ≥ 50%，并单独观察 exact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固定 QA、模型、Judge prompt 和统计口径后重跑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t>若以媒体召回率从当前 40.7% 提升到 50% 为阶段目标，最优先是补齐父视频覆盖和时间/地点/事件槽位检索；同时把候选精确率从 29.0% 提到 50% 以上，避免用无关媒体换取表面召回。最终仍需用同题 paired replay 验证是否推动 exact accuracy。</w:t>
      </w:r>
    </w:p>
    <w:p>
      <w:pPr>
        <w:pStyle w:val="Heading1"/>
        <w:spacing w:before="200" w:after="80"/>
      </w:pPr>
      <w:r>
        <w:t>六、HTML 页面已展示的指标解释</w:t>
      </w:r>
    </w:p>
    <w:p>
      <w:pPr>
        <w:spacing w:after="100" w:line="276" w:lineRule="auto"/>
      </w:pPr>
      <w:r>
        <w:t>测评页面现在提供“原始创建链路 / 测评时生效链路”两个视图。原始创建视图展示媒体、关键帧、视觉/OCR、事件和总结的生成关系；生效视图展示当前问题实际经过的工具调用、候选媒体、事件上下文、证据账本和回答。</w:t>
      </w:r>
    </w:p>
    <w:p>
      <w:pPr>
        <w:spacing w:after="100" w:line="276" w:lineRule="auto"/>
      </w:pPr>
      <w:r>
        <w:t>点击任意节点可查看已保存的图片/视频、视觉或 OCR 语句、时间地点事件字段、查询参数、工具返回 JSON、execution trace、Agent 证据账本、answer_claims 和 Judge 理由。页面只展示系统持久化的执行记录，不把模型未保存的隐藏思维链伪装成可复现推理。</w:t>
      </w:r>
    </w:p>
    <w:p>
      <w:pPr>
        <w:pStyle w:val="Heading1"/>
        <w:spacing w:before="200" w:after="80"/>
      </w:pPr>
      <w:r>
        <w:t>七、当前状态与注意事项</w:t>
      </w:r>
    </w:p>
    <w:p>
      <w:pPr>
        <w:spacing w:after="100" w:line="276" w:lineRule="auto"/>
      </w:pPr>
      <w:r>
        <w:t>本报告基于已完成的历史 full run，当前没有启动新的全量重跑；媒体召回率 50% 是下一阶段验收目标，当前全量 micro 为 40.7%，macro 为 51.8%。视频 2× 目标也暂未用完整 run 验收。页面和接口已保留全量口径，后续只需在固定评测条件下重新跑一次即可形成可比曲线。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