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F4E79"/>
          <w:sz w:val="50"/>
        </w:rPr>
        <w:t>AI SECURITY RED TEAM ASSESSMENT</w:t>
      </w:r>
    </w:p>
    <w:p>
      <w:pPr>
        <w:jc w:val="center"/>
      </w:pPr>
      <w:r>
        <w:rPr>
          <w:rFonts w:ascii="Aptos Display" w:hAnsi="Aptos Display"/>
          <w:b/>
          <w:sz w:val="42"/>
        </w:rPr>
        <w:t>ATTACK REPORT</w:t>
      </w:r>
    </w:p>
    <w:p>
      <w:pPr>
        <w:jc w:val="center"/>
      </w:pPr>
      <w:r>
        <w:rPr>
          <w:sz w:val="26"/>
        </w:rPr>
        <w:t>Local MNIST Image Classification API</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9"/>
              </w:rPr>
              <w:t>Item</w:t>
            </w:r>
          </w:p>
        </w:tc>
        <w:tc>
          <w:tcPr>
            <w:tcW w:type="dxa" w:w="5040"/>
            <w:vAlign w:val="center"/>
            <w:shd w:fill="1F4E79"/>
          </w:tcPr>
          <w:p>
            <w:pPr>
              <w:spacing w:after="0"/>
            </w:pPr>
            <w:r/>
            <w:r>
              <w:rPr>
                <w:rFonts w:ascii="Aptos" w:hAnsi="Aptos"/>
                <w:b/>
                <w:color w:val="FFFFFF"/>
                <w:sz w:val="19"/>
              </w:rPr>
              <w:t>Details</w:t>
            </w:r>
          </w:p>
        </w:tc>
      </w:tr>
      <w:tr>
        <w:tc>
          <w:tcPr>
            <w:tcW w:type="dxa" w:w="5040"/>
            <w:vAlign w:val="center"/>
          </w:tcPr>
          <w:p>
            <w:pPr>
              <w:spacing w:after="0"/>
            </w:pPr>
            <w:r/>
            <w:r>
              <w:rPr>
                <w:rFonts w:ascii="Aptos" w:hAnsi="Aptos"/>
                <w:b w:val="0"/>
                <w:sz w:val="19"/>
              </w:rPr>
              <w:t>Assessment scope</w:t>
            </w:r>
          </w:p>
        </w:tc>
        <w:tc>
          <w:tcPr>
            <w:tcW w:type="dxa" w:w="5040"/>
            <w:vAlign w:val="center"/>
          </w:tcPr>
          <w:p>
            <w:pPr>
              <w:spacing w:after="0"/>
            </w:pPr>
            <w:r/>
            <w:r>
              <w:rPr>
                <w:rFonts w:ascii="Aptos" w:hAnsi="Aptos"/>
                <w:b w:val="0"/>
                <w:sz w:val="19"/>
              </w:rPr>
              <w:t>User-owned local ML model and local inference API</w:t>
            </w:r>
          </w:p>
        </w:tc>
      </w:tr>
      <w:tr>
        <w:tc>
          <w:tcPr>
            <w:tcW w:type="dxa" w:w="5040"/>
            <w:vAlign w:val="center"/>
          </w:tcPr>
          <w:p>
            <w:pPr>
              <w:spacing w:after="0"/>
            </w:pPr>
            <w:r/>
            <w:r>
              <w:rPr>
                <w:rFonts w:ascii="Aptos" w:hAnsi="Aptos"/>
                <w:b w:val="0"/>
                <w:sz w:val="19"/>
              </w:rPr>
              <w:t>Model</w:t>
            </w:r>
          </w:p>
        </w:tc>
        <w:tc>
          <w:tcPr>
            <w:tcW w:type="dxa" w:w="5040"/>
            <w:vAlign w:val="center"/>
          </w:tcPr>
          <w:p>
            <w:pPr>
              <w:spacing w:after="0"/>
            </w:pPr>
            <w:r/>
            <w:r>
              <w:rPr>
                <w:rFonts w:ascii="Aptos" w:hAnsi="Aptos"/>
                <w:b w:val="0"/>
                <w:sz w:val="19"/>
              </w:rPr>
              <w:t>PyTorch MNISTModel for handwritten digits 0-9</w:t>
            </w:r>
          </w:p>
        </w:tc>
      </w:tr>
      <w:tr>
        <w:tc>
          <w:tcPr>
            <w:tcW w:type="dxa" w:w="5040"/>
            <w:vAlign w:val="center"/>
          </w:tcPr>
          <w:p>
            <w:pPr>
              <w:spacing w:after="0"/>
            </w:pPr>
            <w:r/>
            <w:r>
              <w:rPr>
                <w:rFonts w:ascii="Aptos" w:hAnsi="Aptos"/>
                <w:b w:val="0"/>
                <w:sz w:val="19"/>
              </w:rPr>
              <w:t>API</w:t>
            </w:r>
          </w:p>
        </w:tc>
        <w:tc>
          <w:tcPr>
            <w:tcW w:type="dxa" w:w="5040"/>
            <w:vAlign w:val="center"/>
          </w:tcPr>
          <w:p>
            <w:pPr>
              <w:spacing w:after="0"/>
            </w:pPr>
            <w:r/>
            <w:r>
              <w:rPr>
                <w:rFonts w:ascii="Aptos" w:hAnsi="Aptos"/>
                <w:b w:val="0"/>
                <w:sz w:val="19"/>
              </w:rPr>
              <w:t>FastAPI POST /predict inference endpoint</w:t>
            </w:r>
          </w:p>
        </w:tc>
      </w:tr>
      <w:tr>
        <w:tc>
          <w:tcPr>
            <w:tcW w:type="dxa" w:w="5040"/>
            <w:vAlign w:val="center"/>
          </w:tcPr>
          <w:p>
            <w:pPr>
              <w:spacing w:after="0"/>
            </w:pPr>
            <w:r/>
            <w:r>
              <w:rPr>
                <w:rFonts w:ascii="Aptos" w:hAnsi="Aptos"/>
                <w:b w:val="0"/>
                <w:sz w:val="19"/>
              </w:rPr>
              <w:t>Primary attacks</w:t>
            </w:r>
          </w:p>
        </w:tc>
        <w:tc>
          <w:tcPr>
            <w:tcW w:type="dxa" w:w="5040"/>
            <w:vAlign w:val="center"/>
          </w:tcPr>
          <w:p>
            <w:pPr>
              <w:spacing w:after="0"/>
            </w:pPr>
            <w:r/>
            <w:r>
              <w:rPr>
                <w:rFonts w:ascii="Aptos" w:hAnsi="Aptos"/>
                <w:b w:val="0"/>
                <w:sz w:val="19"/>
              </w:rPr>
              <w:t>FGSM and PGD adversarial input attacks</w:t>
            </w:r>
          </w:p>
        </w:tc>
      </w:tr>
      <w:tr>
        <w:tc>
          <w:tcPr>
            <w:tcW w:type="dxa" w:w="5040"/>
            <w:vAlign w:val="center"/>
          </w:tcPr>
          <w:p>
            <w:pPr>
              <w:spacing w:after="0"/>
            </w:pPr>
            <w:r/>
            <w:r>
              <w:rPr>
                <w:rFonts w:ascii="Aptos" w:hAnsi="Aptos"/>
                <w:b w:val="0"/>
                <w:sz w:val="19"/>
              </w:rPr>
              <w:t>Additional testing</w:t>
            </w:r>
          </w:p>
        </w:tc>
        <w:tc>
          <w:tcPr>
            <w:tcW w:type="dxa" w:w="5040"/>
            <w:vAlign w:val="center"/>
          </w:tcPr>
          <w:p>
            <w:pPr>
              <w:spacing w:after="0"/>
            </w:pPr>
            <w:r/>
            <w:r>
              <w:rPr>
                <w:rFonts w:ascii="Aptos" w:hAnsi="Aptos"/>
                <w:b w:val="0"/>
                <w:sz w:val="19"/>
              </w:rPr>
              <w:t>API input validation, model integrity, Docker hardening</w:t>
            </w:r>
          </w:p>
        </w:tc>
      </w:tr>
      <w:tr>
        <w:tc>
          <w:tcPr>
            <w:tcW w:type="dxa" w:w="5040"/>
            <w:vAlign w:val="center"/>
          </w:tcPr>
          <w:p>
            <w:pPr>
              <w:spacing w:after="0"/>
            </w:pPr>
            <w:r/>
            <w:r>
              <w:rPr>
                <w:rFonts w:ascii="Aptos" w:hAnsi="Aptos"/>
                <w:b w:val="0"/>
                <w:sz w:val="19"/>
              </w:rPr>
              <w:t>Bonus</w:t>
            </w:r>
          </w:p>
        </w:tc>
        <w:tc>
          <w:tcPr>
            <w:tcW w:type="dxa" w:w="5040"/>
            <w:vAlign w:val="center"/>
          </w:tcPr>
          <w:p>
            <w:pPr>
              <w:spacing w:after="0"/>
            </w:pPr>
            <w:r/>
            <w:r>
              <w:rPr>
                <w:rFonts w:ascii="Aptos" w:hAnsi="Aptos"/>
                <w:b w:val="0"/>
                <w:sz w:val="19"/>
              </w:rPr>
              <w:t>Black-box model extraction</w:t>
            </w:r>
          </w:p>
        </w:tc>
      </w:tr>
    </w:tbl>
    <w:p>
      <w:pPr>
        <w:pStyle w:val="ReportNote"/>
        <w:jc w:val="center"/>
      </w:pPr>
      <w:r>
        <w:t>This report reflects the verified implementation and execution results from the assessment workflow.</w:t>
      </w:r>
    </w:p>
    <w:p>
      <w:r>
        <w:br w:type="page"/>
      </w:r>
    </w:p>
    <w:p>
      <w:pPr>
        <w:pStyle w:val="Heading1"/>
      </w:pPr>
      <w:r>
        <w:t>1. Executive Summary</w:t>
      </w:r>
    </w:p>
    <w:p>
      <w:r>
        <w:t>This report documents a local red team assessment of a PyTorch-based MNIST image-classification model exposed through a FastAPI inference API. The assessment followed a baseline -&gt; reconnaissance -&gt; attack -&gt; mitigation -&gt; verification workflow.</w:t>
      </w:r>
    </w:p>
    <w:p>
      <w:r>
        <w:t>The model achieved 97.03% accuracy on the 10,000-image MNIST test set before adversarial testing. Two FGSM demonstrations produced successful untargeted misclassifications (7 -&gt; 3 and 2 -&gt; 1), and a manually implemented PGD attack produced 7 -&gt; 3. The adversarial files were also submitted to the deployed /predict endpoint and the changed predictions were reproduced.</w:t>
      </w:r>
    </w:p>
    <w:p>
      <w:r>
        <w:t>The assessment then added application-layer input validation, SHA-256 model integrity verification, safer state-dict loading, and Docker runtime hardening. Post-mitigation checks verified the intended controls without modifying the original trained model artifact.</w:t>
      </w:r>
    </w:p>
    <w:p>
      <w:pPr>
        <w:pStyle w:val="Heading1"/>
      </w:pPr>
      <w:r>
        <w:t>2. Scope and Objectives</w:t>
      </w:r>
    </w:p>
    <w:p>
      <w:r>
        <w:t>Testing was limited to the local environment and the assessor-owned model/API.</w:t>
      </w:r>
    </w:p>
    <w:p>
      <w:pPr>
        <w:pStyle w:val="ListBullet"/>
        <w:spacing w:after="40"/>
      </w:pPr>
      <w:r>
        <w:t>Establish normal model performance before attacks.</w:t>
      </w:r>
    </w:p>
    <w:p>
      <w:pPr>
        <w:pStyle w:val="ListBullet"/>
        <w:spacing w:after="40"/>
      </w:pPr>
      <w:r>
        <w:t>Identify the externally reachable inference attack surface.</w:t>
      </w:r>
    </w:p>
    <w:p>
      <w:pPr>
        <w:pStyle w:val="ListBullet"/>
        <w:spacing w:after="40"/>
      </w:pPr>
      <w:r>
        <w:t>Demonstrate successful adversarial-input attacks against the model.</w:t>
      </w:r>
    </w:p>
    <w:p>
      <w:pPr>
        <w:pStyle w:val="ListBullet"/>
        <w:spacing w:after="40"/>
      </w:pPr>
      <w:r>
        <w:t>Verify attack impact through the actual API.</w:t>
      </w:r>
    </w:p>
    <w:p>
      <w:pPr>
        <w:pStyle w:val="ListBullet"/>
        <w:spacing w:after="40"/>
      </w:pPr>
      <w:r>
        <w:t>Test and document input-validation controls.</w:t>
      </w:r>
    </w:p>
    <w:p>
      <w:pPr>
        <w:pStyle w:val="ListBullet"/>
        <w:spacing w:after="40"/>
      </w:pPr>
      <w:r>
        <w:t>Test and document model-artifact integrity protection.</w:t>
      </w:r>
    </w:p>
    <w:p>
      <w:pPr>
        <w:pStyle w:val="ListBullet"/>
        <w:spacing w:after="40"/>
      </w:pPr>
      <w:r>
        <w:t>Harden and verify the Docker runtime.</w:t>
      </w:r>
    </w:p>
    <w:p>
      <w:pPr>
        <w:pStyle w:val="ListBullet"/>
        <w:spacing w:after="40"/>
      </w:pPr>
      <w:r>
        <w:t>Perform a black-box model-extraction bonus experiment.</w:t>
      </w:r>
    </w:p>
    <w:p>
      <w:pPr>
        <w:pStyle w:val="ListBullet"/>
        <w:spacing w:after="40"/>
      </w:pPr>
      <w:r>
        <w:t>Map the assessment to MITRE ATLAS and NIST AI RMF.</w:t>
      </w:r>
    </w:p>
    <w:p>
      <w:pPr>
        <w:pStyle w:val="Heading1"/>
      </w:pPr>
      <w:r>
        <w:t>3. System Under Assessment</w:t>
      </w:r>
    </w:p>
    <w:p>
      <w:r>
        <w:t>The assessed path is:</w:t>
      </w:r>
    </w:p>
    <w:p>
      <w:pPr>
        <w:jc w:val="center"/>
      </w:pPr>
      <w:r>
        <w:rPr>
          <w:b/>
        </w:rPr>
        <w:t>MNIST image -&gt; preprocessing -&gt; PyTorch MNISTModel -&gt; prediction -&gt; FastAPI /predict response</w:t>
      </w:r>
    </w:p>
    <w:p>
      <w:pPr>
        <w:pStyle w:val="Heading2"/>
      </w:pPr>
      <w:r>
        <w:t>3.1 Model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Aptos" w:hAnsi="Aptos"/>
                <w:b/>
                <w:color w:val="FFFFFF"/>
                <w:sz w:val="18"/>
              </w:rPr>
              <w:t>Layer</w:t>
            </w:r>
          </w:p>
        </w:tc>
        <w:tc>
          <w:tcPr>
            <w:tcW w:type="dxa" w:w="3360"/>
            <w:vAlign w:val="center"/>
            <w:shd w:fill="1F4E79"/>
          </w:tcPr>
          <w:p>
            <w:pPr>
              <w:spacing w:after="0"/>
            </w:pPr>
            <w:r/>
            <w:r>
              <w:rPr>
                <w:rFonts w:ascii="Aptos" w:hAnsi="Aptos"/>
                <w:b/>
                <w:color w:val="FFFFFF"/>
                <w:sz w:val="18"/>
              </w:rPr>
              <w:t>Function</w:t>
            </w:r>
          </w:p>
        </w:tc>
        <w:tc>
          <w:tcPr>
            <w:tcW w:type="dxa" w:w="3360"/>
            <w:vAlign w:val="center"/>
            <w:shd w:fill="1F4E79"/>
          </w:tcPr>
          <w:p>
            <w:pPr>
              <w:spacing w:after="0"/>
            </w:pPr>
            <w:r/>
            <w:r>
              <w:rPr>
                <w:rFonts w:ascii="Aptos" w:hAnsi="Aptos"/>
                <w:b/>
                <w:color w:val="FFFFFF"/>
                <w:sz w:val="18"/>
              </w:rPr>
              <w:t>Output</w:t>
            </w:r>
          </w:p>
        </w:tc>
      </w:tr>
      <w:tr>
        <w:tc>
          <w:tcPr>
            <w:tcW w:type="dxa" w:w="3360"/>
            <w:vAlign w:val="center"/>
          </w:tcPr>
          <w:p>
            <w:pPr>
              <w:spacing w:after="0"/>
            </w:pPr>
            <w:r/>
            <w:r>
              <w:rPr>
                <w:rFonts w:ascii="Aptos" w:hAnsi="Aptos"/>
                <w:b w:val="0"/>
                <w:sz w:val="18"/>
              </w:rPr>
              <w:t>Flatten</w:t>
            </w:r>
          </w:p>
        </w:tc>
        <w:tc>
          <w:tcPr>
            <w:tcW w:type="dxa" w:w="3360"/>
            <w:vAlign w:val="center"/>
          </w:tcPr>
          <w:p>
            <w:pPr>
              <w:spacing w:after="0"/>
            </w:pPr>
            <w:r/>
            <w:r>
              <w:rPr>
                <w:rFonts w:ascii="Aptos" w:hAnsi="Aptos"/>
                <w:b w:val="0"/>
                <w:sz w:val="18"/>
              </w:rPr>
              <w:t>Convert 28 x 28 image into 784 values</w:t>
            </w:r>
          </w:p>
        </w:tc>
        <w:tc>
          <w:tcPr>
            <w:tcW w:type="dxa" w:w="3360"/>
            <w:vAlign w:val="center"/>
          </w:tcPr>
          <w:p>
            <w:pPr>
              <w:spacing w:after="0"/>
            </w:pPr>
            <w:r/>
            <w:r>
              <w:rPr>
                <w:rFonts w:ascii="Aptos" w:hAnsi="Aptos"/>
                <w:b w:val="0"/>
                <w:sz w:val="18"/>
              </w:rPr>
              <w:t>784</w:t>
            </w:r>
          </w:p>
        </w:tc>
      </w:tr>
      <w:tr>
        <w:tc>
          <w:tcPr>
            <w:tcW w:type="dxa" w:w="3360"/>
            <w:vAlign w:val="center"/>
          </w:tcPr>
          <w:p>
            <w:pPr>
              <w:spacing w:after="0"/>
            </w:pPr>
            <w:r/>
            <w:r>
              <w:rPr>
                <w:rFonts w:ascii="Aptos" w:hAnsi="Aptos"/>
                <w:b w:val="0"/>
                <w:sz w:val="18"/>
              </w:rPr>
              <w:t>Linear</w:t>
            </w:r>
          </w:p>
        </w:tc>
        <w:tc>
          <w:tcPr>
            <w:tcW w:type="dxa" w:w="3360"/>
            <w:vAlign w:val="center"/>
          </w:tcPr>
          <w:p>
            <w:pPr>
              <w:spacing w:after="0"/>
            </w:pPr>
            <w:r/>
            <w:r>
              <w:rPr>
                <w:rFonts w:ascii="Aptos" w:hAnsi="Aptos"/>
                <w:b w:val="0"/>
                <w:sz w:val="18"/>
              </w:rPr>
              <w:t>Fully connected layer</w:t>
            </w:r>
          </w:p>
        </w:tc>
        <w:tc>
          <w:tcPr>
            <w:tcW w:type="dxa" w:w="3360"/>
            <w:vAlign w:val="center"/>
          </w:tcPr>
          <w:p>
            <w:pPr>
              <w:spacing w:after="0"/>
            </w:pPr>
            <w:r/>
            <w:r>
              <w:rPr>
                <w:rFonts w:ascii="Aptos" w:hAnsi="Aptos"/>
                <w:b w:val="0"/>
                <w:sz w:val="18"/>
              </w:rPr>
              <w:t>128</w:t>
            </w:r>
          </w:p>
        </w:tc>
      </w:tr>
      <w:tr>
        <w:tc>
          <w:tcPr>
            <w:tcW w:type="dxa" w:w="3360"/>
            <w:vAlign w:val="center"/>
          </w:tcPr>
          <w:p>
            <w:pPr>
              <w:spacing w:after="0"/>
            </w:pPr>
            <w:r/>
            <w:r>
              <w:rPr>
                <w:rFonts w:ascii="Aptos" w:hAnsi="Aptos"/>
                <w:b w:val="0"/>
                <w:sz w:val="18"/>
              </w:rPr>
              <w:t>ReLU</w:t>
            </w:r>
          </w:p>
        </w:tc>
        <w:tc>
          <w:tcPr>
            <w:tcW w:type="dxa" w:w="3360"/>
            <w:vAlign w:val="center"/>
          </w:tcPr>
          <w:p>
            <w:pPr>
              <w:spacing w:after="0"/>
            </w:pPr>
            <w:r/>
            <w:r>
              <w:rPr>
                <w:rFonts w:ascii="Aptos" w:hAnsi="Aptos"/>
                <w:b w:val="0"/>
                <w:sz w:val="18"/>
              </w:rPr>
              <w:t>Non-linear activation</w:t>
            </w:r>
          </w:p>
        </w:tc>
        <w:tc>
          <w:tcPr>
            <w:tcW w:type="dxa" w:w="3360"/>
            <w:vAlign w:val="center"/>
          </w:tcPr>
          <w:p>
            <w:pPr>
              <w:spacing w:after="0"/>
            </w:pPr>
            <w:r/>
            <w:r>
              <w:rPr>
                <w:rFonts w:ascii="Aptos" w:hAnsi="Aptos"/>
                <w:b w:val="0"/>
                <w:sz w:val="18"/>
              </w:rPr>
              <w:t>128</w:t>
            </w:r>
          </w:p>
        </w:tc>
      </w:tr>
      <w:tr>
        <w:tc>
          <w:tcPr>
            <w:tcW w:type="dxa" w:w="3360"/>
            <w:vAlign w:val="center"/>
          </w:tcPr>
          <w:p>
            <w:pPr>
              <w:spacing w:after="0"/>
            </w:pPr>
            <w:r/>
            <w:r>
              <w:rPr>
                <w:rFonts w:ascii="Aptos" w:hAnsi="Aptos"/>
                <w:b w:val="0"/>
                <w:sz w:val="18"/>
              </w:rPr>
              <w:t>Linear</w:t>
            </w:r>
          </w:p>
        </w:tc>
        <w:tc>
          <w:tcPr>
            <w:tcW w:type="dxa" w:w="3360"/>
            <w:vAlign w:val="center"/>
          </w:tcPr>
          <w:p>
            <w:pPr>
              <w:spacing w:after="0"/>
            </w:pPr>
            <w:r/>
            <w:r>
              <w:rPr>
                <w:rFonts w:ascii="Aptos" w:hAnsi="Aptos"/>
                <w:b w:val="0"/>
                <w:sz w:val="18"/>
              </w:rPr>
              <w:t>Fully connected layer</w:t>
            </w:r>
          </w:p>
        </w:tc>
        <w:tc>
          <w:tcPr>
            <w:tcW w:type="dxa" w:w="3360"/>
            <w:vAlign w:val="center"/>
          </w:tcPr>
          <w:p>
            <w:pPr>
              <w:spacing w:after="0"/>
            </w:pPr>
            <w:r/>
            <w:r>
              <w:rPr>
                <w:rFonts w:ascii="Aptos" w:hAnsi="Aptos"/>
                <w:b w:val="0"/>
                <w:sz w:val="18"/>
              </w:rPr>
              <w:t>64</w:t>
            </w:r>
          </w:p>
        </w:tc>
      </w:tr>
      <w:tr>
        <w:tc>
          <w:tcPr>
            <w:tcW w:type="dxa" w:w="3360"/>
            <w:vAlign w:val="center"/>
          </w:tcPr>
          <w:p>
            <w:pPr>
              <w:spacing w:after="0"/>
            </w:pPr>
            <w:r/>
            <w:r>
              <w:rPr>
                <w:rFonts w:ascii="Aptos" w:hAnsi="Aptos"/>
                <w:b w:val="0"/>
                <w:sz w:val="18"/>
              </w:rPr>
              <w:t>ReLU</w:t>
            </w:r>
          </w:p>
        </w:tc>
        <w:tc>
          <w:tcPr>
            <w:tcW w:type="dxa" w:w="3360"/>
            <w:vAlign w:val="center"/>
          </w:tcPr>
          <w:p>
            <w:pPr>
              <w:spacing w:after="0"/>
            </w:pPr>
            <w:r/>
            <w:r>
              <w:rPr>
                <w:rFonts w:ascii="Aptos" w:hAnsi="Aptos"/>
                <w:b w:val="0"/>
                <w:sz w:val="18"/>
              </w:rPr>
              <w:t>Non-linear activation</w:t>
            </w:r>
          </w:p>
        </w:tc>
        <w:tc>
          <w:tcPr>
            <w:tcW w:type="dxa" w:w="3360"/>
            <w:vAlign w:val="center"/>
          </w:tcPr>
          <w:p>
            <w:pPr>
              <w:spacing w:after="0"/>
            </w:pPr>
            <w:r/>
            <w:r>
              <w:rPr>
                <w:rFonts w:ascii="Aptos" w:hAnsi="Aptos"/>
                <w:b w:val="0"/>
                <w:sz w:val="18"/>
              </w:rPr>
              <w:t>64</w:t>
            </w:r>
          </w:p>
        </w:tc>
      </w:tr>
      <w:tr>
        <w:tc>
          <w:tcPr>
            <w:tcW w:type="dxa" w:w="3360"/>
            <w:vAlign w:val="center"/>
          </w:tcPr>
          <w:p>
            <w:pPr>
              <w:spacing w:after="0"/>
            </w:pPr>
            <w:r/>
            <w:r>
              <w:rPr>
                <w:rFonts w:ascii="Aptos" w:hAnsi="Aptos"/>
                <w:b w:val="0"/>
                <w:sz w:val="18"/>
              </w:rPr>
              <w:t>Linear</w:t>
            </w:r>
          </w:p>
        </w:tc>
        <w:tc>
          <w:tcPr>
            <w:tcW w:type="dxa" w:w="3360"/>
            <w:vAlign w:val="center"/>
          </w:tcPr>
          <w:p>
            <w:pPr>
              <w:spacing w:after="0"/>
            </w:pPr>
            <w:r/>
            <w:r>
              <w:rPr>
                <w:rFonts w:ascii="Aptos" w:hAnsi="Aptos"/>
                <w:b w:val="0"/>
                <w:sz w:val="18"/>
              </w:rPr>
              <w:t>Class scores for digits 0-9</w:t>
            </w:r>
          </w:p>
        </w:tc>
        <w:tc>
          <w:tcPr>
            <w:tcW w:type="dxa" w:w="3360"/>
            <w:vAlign w:val="center"/>
          </w:tcPr>
          <w:p>
            <w:pPr>
              <w:spacing w:after="0"/>
            </w:pPr>
            <w:r/>
            <w:r>
              <w:rPr>
                <w:rFonts w:ascii="Aptos" w:hAnsi="Aptos"/>
                <w:b w:val="0"/>
                <w:sz w:val="18"/>
              </w:rPr>
              <w:t>10</w:t>
            </w:r>
          </w:p>
        </w:tc>
      </w:tr>
    </w:tbl>
    <w:p>
      <w:pPr>
        <w:pStyle w:val="Heading2"/>
      </w:pPr>
      <w:r>
        <w:t>3.2 API Attack Surface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Aptos" w:hAnsi="Aptos"/>
                <w:b/>
                <w:color w:val="FFFFFF"/>
                <w:sz w:val="17"/>
              </w:rPr>
              <w:t>Endpoint</w:t>
            </w:r>
          </w:p>
        </w:tc>
        <w:tc>
          <w:tcPr>
            <w:tcW w:type="dxa" w:w="2520"/>
            <w:vAlign w:val="center"/>
            <w:shd w:fill="1F4E79"/>
          </w:tcPr>
          <w:p>
            <w:pPr>
              <w:spacing w:after="0"/>
            </w:pPr>
            <w:r/>
            <w:r>
              <w:rPr>
                <w:rFonts w:ascii="Aptos" w:hAnsi="Aptos"/>
                <w:b/>
                <w:color w:val="FFFFFF"/>
                <w:sz w:val="17"/>
              </w:rPr>
              <w:t>Method</w:t>
            </w:r>
          </w:p>
        </w:tc>
        <w:tc>
          <w:tcPr>
            <w:tcW w:type="dxa" w:w="2520"/>
            <w:vAlign w:val="center"/>
            <w:shd w:fill="1F4E79"/>
          </w:tcPr>
          <w:p>
            <w:pPr>
              <w:spacing w:after="0"/>
            </w:pPr>
            <w:r/>
            <w:r>
              <w:rPr>
                <w:rFonts w:ascii="Aptos" w:hAnsi="Aptos"/>
                <w:b/>
                <w:color w:val="FFFFFF"/>
                <w:sz w:val="17"/>
              </w:rPr>
              <w:t>Purpose</w:t>
            </w:r>
          </w:p>
        </w:tc>
        <w:tc>
          <w:tcPr>
            <w:tcW w:type="dxa" w:w="2520"/>
            <w:vAlign w:val="center"/>
            <w:shd w:fill="1F4E79"/>
          </w:tcPr>
          <w:p>
            <w:pPr>
              <w:spacing w:after="0"/>
            </w:pPr>
            <w:r/>
            <w:r>
              <w:rPr>
                <w:rFonts w:ascii="Aptos" w:hAnsi="Aptos"/>
                <w:b/>
                <w:color w:val="FFFFFF"/>
                <w:sz w:val="17"/>
              </w:rPr>
              <w:t>Observation</w:t>
            </w:r>
          </w:p>
        </w:tc>
      </w:tr>
      <w:tr>
        <w:tc>
          <w:tcPr>
            <w:tcW w:type="dxa" w:w="2520"/>
            <w:vAlign w:val="center"/>
          </w:tcPr>
          <w:p>
            <w:pPr>
              <w:spacing w:after="0"/>
            </w:pPr>
            <w:r/>
            <w:r>
              <w:rPr>
                <w:rFonts w:ascii="Aptos" w:hAnsi="Aptos"/>
                <w:b w:val="0"/>
                <w:sz w:val="17"/>
              </w:rPr>
              <w:t>/health</w:t>
            </w:r>
          </w:p>
        </w:tc>
        <w:tc>
          <w:tcPr>
            <w:tcW w:type="dxa" w:w="2520"/>
            <w:vAlign w:val="center"/>
          </w:tcPr>
          <w:p>
            <w:pPr>
              <w:spacing w:after="0"/>
            </w:pPr>
            <w:r/>
            <w:r>
              <w:rPr>
                <w:rFonts w:ascii="Aptos" w:hAnsi="Aptos"/>
                <w:b w:val="0"/>
                <w:sz w:val="17"/>
              </w:rPr>
              <w:t>GET</w:t>
            </w:r>
          </w:p>
        </w:tc>
        <w:tc>
          <w:tcPr>
            <w:tcW w:type="dxa" w:w="2520"/>
            <w:vAlign w:val="center"/>
          </w:tcPr>
          <w:p>
            <w:pPr>
              <w:spacing w:after="0"/>
            </w:pPr>
            <w:r/>
            <w:r>
              <w:rPr>
                <w:rFonts w:ascii="Aptos" w:hAnsi="Aptos"/>
                <w:b w:val="0"/>
                <w:sz w:val="17"/>
              </w:rPr>
              <w:t>Service health</w:t>
            </w:r>
          </w:p>
        </w:tc>
        <w:tc>
          <w:tcPr>
            <w:tcW w:type="dxa" w:w="2520"/>
            <w:vAlign w:val="center"/>
          </w:tcPr>
          <w:p>
            <w:pPr>
              <w:spacing w:after="0"/>
            </w:pPr>
            <w:r/>
            <w:r>
              <w:rPr>
                <w:rFonts w:ascii="Aptos" w:hAnsi="Aptos"/>
                <w:b w:val="0"/>
                <w:sz w:val="17"/>
              </w:rPr>
              <w:t>Returned OK</w:t>
            </w:r>
          </w:p>
        </w:tc>
      </w:tr>
      <w:tr>
        <w:tc>
          <w:tcPr>
            <w:tcW w:type="dxa" w:w="2520"/>
            <w:vAlign w:val="center"/>
          </w:tcPr>
          <w:p>
            <w:pPr>
              <w:spacing w:after="0"/>
            </w:pPr>
            <w:r/>
            <w:r>
              <w:rPr>
                <w:rFonts w:ascii="Aptos" w:hAnsi="Aptos"/>
                <w:b w:val="0"/>
                <w:sz w:val="17"/>
              </w:rPr>
              <w:t>/model-info</w:t>
            </w:r>
          </w:p>
        </w:tc>
        <w:tc>
          <w:tcPr>
            <w:tcW w:type="dxa" w:w="2520"/>
            <w:vAlign w:val="center"/>
          </w:tcPr>
          <w:p>
            <w:pPr>
              <w:spacing w:after="0"/>
            </w:pPr>
            <w:r/>
            <w:r>
              <w:rPr>
                <w:rFonts w:ascii="Aptos" w:hAnsi="Aptos"/>
                <w:b w:val="0"/>
                <w:sz w:val="17"/>
              </w:rPr>
              <w:t>GET</w:t>
            </w:r>
          </w:p>
        </w:tc>
        <w:tc>
          <w:tcPr>
            <w:tcW w:type="dxa" w:w="2520"/>
            <w:vAlign w:val="center"/>
          </w:tcPr>
          <w:p>
            <w:pPr>
              <w:spacing w:after="0"/>
            </w:pPr>
            <w:r/>
            <w:r>
              <w:rPr>
                <w:rFonts w:ascii="Aptos" w:hAnsi="Aptos"/>
                <w:b w:val="0"/>
                <w:sz w:val="17"/>
              </w:rPr>
              <w:t>Model metadata</w:t>
            </w:r>
          </w:p>
        </w:tc>
        <w:tc>
          <w:tcPr>
            <w:tcW w:type="dxa" w:w="2520"/>
            <w:vAlign w:val="center"/>
          </w:tcPr>
          <w:p>
            <w:pPr>
              <w:spacing w:after="0"/>
            </w:pPr>
            <w:r/>
            <w:r>
              <w:rPr>
                <w:rFonts w:ascii="Aptos" w:hAnsi="Aptos"/>
                <w:b w:val="0"/>
                <w:sz w:val="17"/>
              </w:rPr>
              <w:t>Returned model/dataset/device information</w:t>
            </w:r>
          </w:p>
        </w:tc>
      </w:tr>
      <w:tr>
        <w:tc>
          <w:tcPr>
            <w:tcW w:type="dxa" w:w="2520"/>
            <w:vAlign w:val="center"/>
          </w:tcPr>
          <w:p>
            <w:pPr>
              <w:spacing w:after="0"/>
            </w:pPr>
            <w:r/>
            <w:r>
              <w:rPr>
                <w:rFonts w:ascii="Aptos" w:hAnsi="Aptos"/>
                <w:b w:val="0"/>
                <w:sz w:val="17"/>
              </w:rPr>
              <w:t>/docs</w:t>
            </w:r>
          </w:p>
        </w:tc>
        <w:tc>
          <w:tcPr>
            <w:tcW w:type="dxa" w:w="2520"/>
            <w:vAlign w:val="center"/>
          </w:tcPr>
          <w:p>
            <w:pPr>
              <w:spacing w:after="0"/>
            </w:pPr>
            <w:r/>
            <w:r>
              <w:rPr>
                <w:rFonts w:ascii="Aptos" w:hAnsi="Aptos"/>
                <w:b w:val="0"/>
                <w:sz w:val="17"/>
              </w:rPr>
              <w:t>GET</w:t>
            </w:r>
          </w:p>
        </w:tc>
        <w:tc>
          <w:tcPr>
            <w:tcW w:type="dxa" w:w="2520"/>
            <w:vAlign w:val="center"/>
          </w:tcPr>
          <w:p>
            <w:pPr>
              <w:spacing w:after="0"/>
            </w:pPr>
            <w:r/>
            <w:r>
              <w:rPr>
                <w:rFonts w:ascii="Aptos" w:hAnsi="Aptos"/>
                <w:b w:val="0"/>
                <w:sz w:val="17"/>
              </w:rPr>
              <w:t>Swagger/OpenAPI interface</w:t>
            </w:r>
          </w:p>
        </w:tc>
        <w:tc>
          <w:tcPr>
            <w:tcW w:type="dxa" w:w="2520"/>
            <w:vAlign w:val="center"/>
          </w:tcPr>
          <w:p>
            <w:pPr>
              <w:spacing w:after="0"/>
            </w:pPr>
            <w:r/>
            <w:r>
              <w:rPr>
                <w:rFonts w:ascii="Aptos" w:hAnsi="Aptos"/>
                <w:b w:val="0"/>
                <w:sz w:val="17"/>
              </w:rPr>
              <w:t>Documentation surface reachable locally</w:t>
            </w:r>
          </w:p>
        </w:tc>
      </w:tr>
      <w:tr>
        <w:tc>
          <w:tcPr>
            <w:tcW w:type="dxa" w:w="2520"/>
            <w:vAlign w:val="center"/>
          </w:tcPr>
          <w:p>
            <w:pPr>
              <w:spacing w:after="0"/>
            </w:pPr>
            <w:r/>
            <w:r>
              <w:rPr>
                <w:rFonts w:ascii="Aptos" w:hAnsi="Aptos"/>
                <w:b w:val="0"/>
                <w:sz w:val="17"/>
              </w:rPr>
              <w:t>/predict</w:t>
            </w:r>
          </w:p>
        </w:tc>
        <w:tc>
          <w:tcPr>
            <w:tcW w:type="dxa" w:w="2520"/>
            <w:vAlign w:val="center"/>
          </w:tcPr>
          <w:p>
            <w:pPr>
              <w:spacing w:after="0"/>
            </w:pPr>
            <w:r/>
            <w:r>
              <w:rPr>
                <w:rFonts w:ascii="Aptos" w:hAnsi="Aptos"/>
                <w:b w:val="0"/>
                <w:sz w:val="17"/>
              </w:rPr>
              <w:t>POST</w:t>
            </w:r>
          </w:p>
        </w:tc>
        <w:tc>
          <w:tcPr>
            <w:tcW w:type="dxa" w:w="2520"/>
            <w:vAlign w:val="center"/>
          </w:tcPr>
          <w:p>
            <w:pPr>
              <w:spacing w:after="0"/>
            </w:pPr>
            <w:r/>
            <w:r>
              <w:rPr>
                <w:rFonts w:ascii="Aptos" w:hAnsi="Aptos"/>
                <w:b w:val="0"/>
                <w:sz w:val="17"/>
              </w:rPr>
              <w:t>Image inference</w:t>
            </w:r>
          </w:p>
        </w:tc>
        <w:tc>
          <w:tcPr>
            <w:tcW w:type="dxa" w:w="2520"/>
            <w:vAlign w:val="center"/>
          </w:tcPr>
          <w:p>
            <w:pPr>
              <w:spacing w:after="0"/>
            </w:pPr>
            <w:r/>
            <w:r>
              <w:rPr>
                <w:rFonts w:ascii="Aptos" w:hAnsi="Aptos"/>
                <w:b w:val="0"/>
                <w:sz w:val="17"/>
              </w:rPr>
              <w:t>Primary model-input attack surface</w:t>
            </w:r>
          </w:p>
        </w:tc>
      </w:tr>
    </w:tbl>
    <w:p>
      <w:r>
        <w:t>GET /predict returned HTTP 405 and a missing required upload returned HTTP 422. These were treated as expected framework behavior, not vulnerabilities by themselves.</w:t>
      </w:r>
    </w:p>
    <w:p>
      <w:pPr>
        <w:pStyle w:val="Heading1"/>
      </w:pPr>
      <w:r>
        <w:t>4. Assessment Methodology</w:t>
      </w:r>
    </w:p>
    <w:p>
      <w:pPr>
        <w:pStyle w:val="ListNumber"/>
        <w:spacing w:after="40"/>
      </w:pPr>
      <w:r>
        <w:t>Confirm the local project and Python environment.</w:t>
      </w:r>
    </w:p>
    <w:p>
      <w:pPr>
        <w:pStyle w:val="ListNumber"/>
        <w:spacing w:after="40"/>
      </w:pPr>
      <w:r>
        <w:t>Evaluate the trained model on the MNIST test set to establish a baseline.</w:t>
      </w:r>
    </w:p>
    <w:p>
      <w:pPr>
        <w:pStyle w:val="ListNumber"/>
        <w:spacing w:after="40"/>
      </w:pPr>
      <w:r>
        <w:t>Start the FastAPI service and validate health and model-information endpoints.</w:t>
      </w:r>
    </w:p>
    <w:p>
      <w:pPr>
        <w:pStyle w:val="ListNumber"/>
        <w:spacing w:after="40"/>
      </w:pPr>
      <w:r>
        <w:t>Review the exposed inference endpoint as the primary attack surface.</w:t>
      </w:r>
    </w:p>
    <w:p>
      <w:pPr>
        <w:pStyle w:val="ListNumber"/>
        <w:spacing w:after="40"/>
      </w:pPr>
      <w:r>
        <w:t>Generate adversarial examples with FGSM and PGD.</w:t>
      </w:r>
    </w:p>
    <w:p>
      <w:pPr>
        <w:pStyle w:val="ListNumber"/>
        <w:spacing w:after="40"/>
      </w:pPr>
      <w:r>
        <w:t>Verify generated adversarial images through the deployed API.</w:t>
      </w:r>
    </w:p>
    <w:p>
      <w:pPr>
        <w:pStyle w:val="ListNumber"/>
        <w:spacing w:after="40"/>
      </w:pPr>
      <w:r>
        <w:t>Test invalid, oversized, and oversized-dimension inputs.</w:t>
      </w:r>
    </w:p>
    <w:p>
      <w:pPr>
        <w:pStyle w:val="ListNumber"/>
        <w:spacing w:after="40"/>
      </w:pPr>
      <w:r>
        <w:t>Perform a controlled model-file tamper test.</w:t>
      </w:r>
    </w:p>
    <w:p>
      <w:pPr>
        <w:pStyle w:val="ListNumber"/>
        <w:spacing w:after="40"/>
      </w:pPr>
      <w:r>
        <w:t>Inspect Docker runtime security before and after hardening.</w:t>
      </w:r>
    </w:p>
    <w:p>
      <w:pPr>
        <w:pStyle w:val="ListNumber"/>
        <w:spacing w:after="40"/>
      </w:pPr>
      <w:r>
        <w:t>Perform the black-box model-extraction bonus experiment.</w:t>
      </w:r>
    </w:p>
    <w:p>
      <w:pPr>
        <w:pStyle w:val="ListNumber"/>
        <w:spacing w:after="40"/>
      </w:pPr>
      <w:r>
        <w:t>Preserve evidence and complete framework mapping.</w:t>
      </w:r>
    </w:p>
    <w:p>
      <w:pPr>
        <w:pStyle w:val="Heading1"/>
      </w:pPr>
      <w:r>
        <w:t>5. Baseline Assessment</w:t>
      </w:r>
    </w:p>
    <w:p>
      <w:r>
        <w:t>Baseline testing was completed before adversarial testing so later attack results could be compared with normal behavior.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9"/>
              </w:rPr>
              <w:t>Metric</w:t>
            </w:r>
          </w:p>
        </w:tc>
        <w:tc>
          <w:tcPr>
            <w:tcW w:type="dxa" w:w="5040"/>
            <w:vAlign w:val="center"/>
            <w:shd w:fill="1F4E79"/>
          </w:tcPr>
          <w:p>
            <w:pPr>
              <w:spacing w:after="0"/>
            </w:pPr>
            <w:r/>
            <w:r>
              <w:rPr>
                <w:rFonts w:ascii="Aptos" w:hAnsi="Aptos"/>
                <w:b/>
                <w:color w:val="FFFFFF"/>
                <w:sz w:val="19"/>
              </w:rPr>
              <w:t>Verified result</w:t>
            </w:r>
          </w:p>
        </w:tc>
      </w:tr>
      <w:tr>
        <w:tc>
          <w:tcPr>
            <w:tcW w:type="dxa" w:w="5040"/>
            <w:vAlign w:val="center"/>
          </w:tcPr>
          <w:p>
            <w:pPr>
              <w:spacing w:after="0"/>
            </w:pPr>
            <w:r/>
            <w:r>
              <w:rPr>
                <w:rFonts w:ascii="Aptos" w:hAnsi="Aptos"/>
                <w:b w:val="0"/>
                <w:sz w:val="19"/>
              </w:rPr>
              <w:t>Test images</w:t>
            </w:r>
          </w:p>
        </w:tc>
        <w:tc>
          <w:tcPr>
            <w:tcW w:type="dxa" w:w="5040"/>
            <w:vAlign w:val="center"/>
          </w:tcPr>
          <w:p>
            <w:pPr>
              <w:spacing w:after="0"/>
            </w:pPr>
            <w:r/>
            <w:r>
              <w:rPr>
                <w:rFonts w:ascii="Aptos" w:hAnsi="Aptos"/>
                <w:b w:val="0"/>
                <w:sz w:val="19"/>
              </w:rPr>
              <w:t>10,000</w:t>
            </w:r>
          </w:p>
        </w:tc>
      </w:tr>
      <w:tr>
        <w:tc>
          <w:tcPr>
            <w:tcW w:type="dxa" w:w="5040"/>
            <w:vAlign w:val="center"/>
          </w:tcPr>
          <w:p>
            <w:pPr>
              <w:spacing w:after="0"/>
            </w:pPr>
            <w:r/>
            <w:r>
              <w:rPr>
                <w:rFonts w:ascii="Aptos" w:hAnsi="Aptos"/>
                <w:b w:val="0"/>
                <w:sz w:val="19"/>
              </w:rPr>
              <w:t>Correct predictions</w:t>
            </w:r>
          </w:p>
        </w:tc>
        <w:tc>
          <w:tcPr>
            <w:tcW w:type="dxa" w:w="5040"/>
            <w:vAlign w:val="center"/>
          </w:tcPr>
          <w:p>
            <w:pPr>
              <w:spacing w:after="0"/>
            </w:pPr>
            <w:r/>
            <w:r>
              <w:rPr>
                <w:rFonts w:ascii="Aptos" w:hAnsi="Aptos"/>
                <w:b w:val="0"/>
                <w:sz w:val="19"/>
              </w:rPr>
              <w:t>9,703</w:t>
            </w:r>
          </w:p>
        </w:tc>
      </w:tr>
      <w:tr>
        <w:tc>
          <w:tcPr>
            <w:tcW w:type="dxa" w:w="5040"/>
            <w:vAlign w:val="center"/>
          </w:tcPr>
          <w:p>
            <w:pPr>
              <w:spacing w:after="0"/>
            </w:pPr>
            <w:r/>
            <w:r>
              <w:rPr>
                <w:rFonts w:ascii="Aptos" w:hAnsi="Aptos"/>
                <w:b w:val="0"/>
                <w:sz w:val="19"/>
              </w:rPr>
              <w:t>Baseline accuracy</w:t>
            </w:r>
          </w:p>
        </w:tc>
        <w:tc>
          <w:tcPr>
            <w:tcW w:type="dxa" w:w="5040"/>
            <w:vAlign w:val="center"/>
          </w:tcPr>
          <w:p>
            <w:pPr>
              <w:spacing w:after="0"/>
            </w:pPr>
            <w:r/>
            <w:r>
              <w:rPr>
                <w:rFonts w:ascii="Aptos" w:hAnsi="Aptos"/>
                <w:b w:val="0"/>
                <w:sz w:val="19"/>
              </w:rPr>
              <w:t>97.03%</w:t>
            </w:r>
          </w:p>
        </w:tc>
      </w:tr>
      <w:tr>
        <w:tc>
          <w:tcPr>
            <w:tcW w:type="dxa" w:w="5040"/>
            <w:vAlign w:val="center"/>
          </w:tcPr>
          <w:p>
            <w:pPr>
              <w:spacing w:after="0"/>
            </w:pPr>
            <w:r/>
            <w:r>
              <w:rPr>
                <w:rFonts w:ascii="Aptos" w:hAnsi="Aptos"/>
                <w:b w:val="0"/>
                <w:sz w:val="19"/>
              </w:rPr>
              <w:t>Example clean prediction</w:t>
            </w:r>
          </w:p>
        </w:tc>
        <w:tc>
          <w:tcPr>
            <w:tcW w:type="dxa" w:w="5040"/>
            <w:vAlign w:val="center"/>
          </w:tcPr>
          <w:p>
            <w:pPr>
              <w:spacing w:after="0"/>
            </w:pPr>
            <w:r/>
            <w:r>
              <w:rPr>
                <w:rFonts w:ascii="Aptos" w:hAnsi="Aptos"/>
                <w:b w:val="0"/>
                <w:sz w:val="19"/>
              </w:rPr>
              <w:t>7</w:t>
            </w:r>
          </w:p>
        </w:tc>
      </w:tr>
    </w:tbl>
    <w:p>
      <w:pPr>
        <w:pStyle w:val="Heading1"/>
      </w:pPr>
      <w:r>
        <w:t>6. Adversarial Attack Results</w:t>
      </w:r>
    </w:p>
    <w:p>
      <w:pPr>
        <w:pStyle w:val="Heading2"/>
      </w:pPr>
      <w:r>
        <w:t>6.1 FGSM</w:t>
      </w:r>
    </w:p>
    <w:p>
      <w:r>
        <w:t>Fast Gradient Sign Method (FGSM) is a one-step gradient-based attack. It enables gradients with respect to the input image, computes the loss, backpropagates to obtain the input gradient, takes the sign of that gradient, scales it by epsilon, and adds the perturbation to the input.</w:t>
      </w:r>
    </w:p>
    <w:p>
      <w:r>
        <w:rPr>
          <w:b/>
        </w:rPr>
        <w:t>Core idea: x_adv = x + epsilon * sign(gradient of loss with respect to 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rFonts w:ascii="Aptos" w:hAnsi="Aptos"/>
                <w:b/>
                <w:color w:val="FFFFFF"/>
                <w:sz w:val="17"/>
              </w:rPr>
              <w:t>Example</w:t>
            </w:r>
          </w:p>
        </w:tc>
        <w:tc>
          <w:tcPr>
            <w:tcW w:type="dxa" w:w="2016"/>
            <w:vAlign w:val="center"/>
            <w:shd w:fill="1F4E79"/>
          </w:tcPr>
          <w:p>
            <w:pPr>
              <w:spacing w:after="0"/>
            </w:pPr>
            <w:r/>
            <w:r>
              <w:rPr>
                <w:rFonts w:ascii="Aptos" w:hAnsi="Aptos"/>
                <w:b/>
                <w:color w:val="FFFFFF"/>
                <w:sz w:val="17"/>
              </w:rPr>
              <w:t>True label</w:t>
            </w:r>
          </w:p>
        </w:tc>
        <w:tc>
          <w:tcPr>
            <w:tcW w:type="dxa" w:w="2016"/>
            <w:vAlign w:val="center"/>
            <w:shd w:fill="1F4E79"/>
          </w:tcPr>
          <w:p>
            <w:pPr>
              <w:spacing w:after="0"/>
            </w:pPr>
            <w:r/>
            <w:r>
              <w:rPr>
                <w:rFonts w:ascii="Aptos" w:hAnsi="Aptos"/>
                <w:b/>
                <w:color w:val="FFFFFF"/>
                <w:sz w:val="17"/>
              </w:rPr>
              <w:t>Original prediction</w:t>
            </w:r>
          </w:p>
        </w:tc>
        <w:tc>
          <w:tcPr>
            <w:tcW w:type="dxa" w:w="2016"/>
            <w:vAlign w:val="center"/>
            <w:shd w:fill="1F4E79"/>
          </w:tcPr>
          <w:p>
            <w:pPr>
              <w:spacing w:after="0"/>
            </w:pPr>
            <w:r/>
            <w:r>
              <w:rPr>
                <w:rFonts w:ascii="Aptos" w:hAnsi="Aptos"/>
                <w:b/>
                <w:color w:val="FFFFFF"/>
                <w:sz w:val="17"/>
              </w:rPr>
              <w:t>Adversarial prediction</w:t>
            </w:r>
          </w:p>
        </w:tc>
        <w:tc>
          <w:tcPr>
            <w:tcW w:type="dxa" w:w="2016"/>
            <w:vAlign w:val="center"/>
            <w:shd w:fill="1F4E79"/>
          </w:tcPr>
          <w:p>
            <w:pPr>
              <w:spacing w:after="0"/>
            </w:pPr>
            <w:r/>
            <w:r>
              <w:rPr>
                <w:rFonts w:ascii="Aptos" w:hAnsi="Aptos"/>
                <w:b/>
                <w:color w:val="FFFFFF"/>
                <w:sz w:val="17"/>
              </w:rPr>
              <w:t>Status</w:t>
            </w:r>
          </w:p>
        </w:tc>
      </w:tr>
      <w:tr>
        <w:tc>
          <w:tcPr>
            <w:tcW w:type="dxa" w:w="2016"/>
            <w:vAlign w:val="center"/>
          </w:tcPr>
          <w:p>
            <w:pPr>
              <w:spacing w:after="0"/>
            </w:pPr>
            <w:r/>
            <w:r>
              <w:rPr>
                <w:rFonts w:ascii="Aptos" w:hAnsi="Aptos"/>
                <w:b w:val="0"/>
                <w:sz w:val="17"/>
              </w:rPr>
              <w:t>FGSM #1</w:t>
            </w:r>
          </w:p>
        </w:tc>
        <w:tc>
          <w:tcPr>
            <w:tcW w:type="dxa" w:w="2016"/>
            <w:vAlign w:val="center"/>
          </w:tcPr>
          <w:p>
            <w:pPr>
              <w:spacing w:after="0"/>
            </w:pPr>
            <w:r/>
            <w:r>
              <w:rPr>
                <w:rFonts w:ascii="Aptos" w:hAnsi="Aptos"/>
                <w:b w:val="0"/>
                <w:sz w:val="17"/>
              </w:rPr>
              <w:t>7</w:t>
            </w:r>
          </w:p>
        </w:tc>
        <w:tc>
          <w:tcPr>
            <w:tcW w:type="dxa" w:w="2016"/>
            <w:vAlign w:val="center"/>
          </w:tcPr>
          <w:p>
            <w:pPr>
              <w:spacing w:after="0"/>
            </w:pPr>
            <w:r/>
            <w:r>
              <w:rPr>
                <w:rFonts w:ascii="Aptos" w:hAnsi="Aptos"/>
                <w:b w:val="0"/>
                <w:sz w:val="17"/>
              </w:rPr>
              <w:t>7</w:t>
            </w:r>
          </w:p>
        </w:tc>
        <w:tc>
          <w:tcPr>
            <w:tcW w:type="dxa" w:w="2016"/>
            <w:vAlign w:val="center"/>
          </w:tcPr>
          <w:p>
            <w:pPr>
              <w:spacing w:after="0"/>
            </w:pPr>
            <w:r/>
            <w:r>
              <w:rPr>
                <w:rFonts w:ascii="Aptos" w:hAnsi="Aptos"/>
                <w:b w:val="0"/>
                <w:sz w:val="17"/>
              </w:rPr>
              <w:t>3</w:t>
            </w:r>
          </w:p>
        </w:tc>
        <w:tc>
          <w:tcPr>
            <w:tcW w:type="dxa" w:w="2016"/>
            <w:vAlign w:val="center"/>
          </w:tcPr>
          <w:p>
            <w:pPr>
              <w:spacing w:after="0"/>
            </w:pPr>
            <w:r/>
            <w:r>
              <w:rPr>
                <w:rFonts w:ascii="Aptos" w:hAnsi="Aptos"/>
                <w:b w:val="0"/>
                <w:sz w:val="17"/>
              </w:rPr>
              <w:t>SUCCESS</w:t>
            </w:r>
          </w:p>
        </w:tc>
      </w:tr>
      <w:tr>
        <w:tc>
          <w:tcPr>
            <w:tcW w:type="dxa" w:w="2016"/>
            <w:vAlign w:val="center"/>
          </w:tcPr>
          <w:p>
            <w:pPr>
              <w:spacing w:after="0"/>
            </w:pPr>
            <w:r/>
            <w:r>
              <w:rPr>
                <w:rFonts w:ascii="Aptos" w:hAnsi="Aptos"/>
                <w:b w:val="0"/>
                <w:sz w:val="17"/>
              </w:rPr>
              <w:t>FGSM #2</w:t>
            </w:r>
          </w:p>
        </w:tc>
        <w:tc>
          <w:tcPr>
            <w:tcW w:type="dxa" w:w="2016"/>
            <w:vAlign w:val="center"/>
          </w:tcPr>
          <w:p>
            <w:pPr>
              <w:spacing w:after="0"/>
            </w:pPr>
            <w:r/>
            <w:r>
              <w:rPr>
                <w:rFonts w:ascii="Aptos" w:hAnsi="Aptos"/>
                <w:b w:val="0"/>
                <w:sz w:val="17"/>
              </w:rPr>
              <w:t>2</w:t>
            </w:r>
          </w:p>
        </w:tc>
        <w:tc>
          <w:tcPr>
            <w:tcW w:type="dxa" w:w="2016"/>
            <w:vAlign w:val="center"/>
          </w:tcPr>
          <w:p>
            <w:pPr>
              <w:spacing w:after="0"/>
            </w:pPr>
            <w:r/>
            <w:r>
              <w:rPr>
                <w:rFonts w:ascii="Aptos" w:hAnsi="Aptos"/>
                <w:b w:val="0"/>
                <w:sz w:val="17"/>
              </w:rPr>
              <w:t>2</w:t>
            </w:r>
          </w:p>
        </w:tc>
        <w:tc>
          <w:tcPr>
            <w:tcW w:type="dxa" w:w="2016"/>
            <w:vAlign w:val="center"/>
          </w:tcPr>
          <w:p>
            <w:pPr>
              <w:spacing w:after="0"/>
            </w:pPr>
            <w:r/>
            <w:r>
              <w:rPr>
                <w:rFonts w:ascii="Aptos" w:hAnsi="Aptos"/>
                <w:b w:val="0"/>
                <w:sz w:val="17"/>
              </w:rPr>
              <w:t>1</w:t>
            </w:r>
          </w:p>
        </w:tc>
        <w:tc>
          <w:tcPr>
            <w:tcW w:type="dxa" w:w="2016"/>
            <w:vAlign w:val="center"/>
          </w:tcPr>
          <w:p>
            <w:pPr>
              <w:spacing w:after="0"/>
            </w:pPr>
            <w:r/>
            <w:r>
              <w:rPr>
                <w:rFonts w:ascii="Aptos" w:hAnsi="Aptos"/>
                <w:b w:val="0"/>
                <w:sz w:val="17"/>
              </w:rPr>
              <w:t>SUCCESS</w:t>
            </w:r>
          </w:p>
        </w:tc>
      </w:tr>
    </w:tbl>
    <w:p>
      <w:r>
        <w:t>The demonstrated FGSM attacks were untargeted: the goal was to cause a misclassification rather than force a particular target class.</w:t>
      </w:r>
    </w:p>
    <w:p>
      <w:pPr>
        <w:pStyle w:val="Heading2"/>
      </w:pPr>
      <w:r>
        <w:t>6.2 PGD</w:t>
      </w:r>
    </w:p>
    <w:p>
      <w:r>
        <w:t>Projected Gradient Descent (PGD) applies repeated small gradient-based updates and projects the perturbed input back into the allowed epsilon region after each update. This allows an iterative search rather than a single FGSM step.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8"/>
              </w:rPr>
              <w:t>Parameter</w:t>
            </w:r>
          </w:p>
        </w:tc>
        <w:tc>
          <w:tcPr>
            <w:tcW w:type="dxa" w:w="5040"/>
            <w:vAlign w:val="center"/>
            <w:shd w:fill="1F4E79"/>
          </w:tcPr>
          <w:p>
            <w:pPr>
              <w:spacing w:after="0"/>
            </w:pPr>
            <w:r/>
            <w:r>
              <w:rPr>
                <w:rFonts w:ascii="Aptos" w:hAnsi="Aptos"/>
                <w:b/>
                <w:color w:val="FFFFFF"/>
                <w:sz w:val="18"/>
              </w:rPr>
              <w:t>Verified value</w:t>
            </w:r>
          </w:p>
        </w:tc>
      </w:tr>
      <w:tr>
        <w:tc>
          <w:tcPr>
            <w:tcW w:type="dxa" w:w="5040"/>
            <w:vAlign w:val="center"/>
          </w:tcPr>
          <w:p>
            <w:pPr>
              <w:spacing w:after="0"/>
            </w:pPr>
            <w:r/>
            <w:r>
              <w:rPr>
                <w:rFonts w:ascii="Aptos" w:hAnsi="Aptos"/>
                <w:b w:val="0"/>
                <w:sz w:val="18"/>
              </w:rPr>
              <w:t>epsilon</w:t>
            </w:r>
          </w:p>
        </w:tc>
        <w:tc>
          <w:tcPr>
            <w:tcW w:type="dxa" w:w="5040"/>
            <w:vAlign w:val="center"/>
          </w:tcPr>
          <w:p>
            <w:pPr>
              <w:spacing w:after="0"/>
            </w:pPr>
            <w:r/>
            <w:r>
              <w:rPr>
                <w:rFonts w:ascii="Aptos" w:hAnsi="Aptos"/>
                <w:b w:val="0"/>
                <w:sz w:val="18"/>
              </w:rPr>
              <w:t>0.1</w:t>
            </w:r>
          </w:p>
        </w:tc>
      </w:tr>
      <w:tr>
        <w:tc>
          <w:tcPr>
            <w:tcW w:type="dxa" w:w="5040"/>
            <w:vAlign w:val="center"/>
          </w:tcPr>
          <w:p>
            <w:pPr>
              <w:spacing w:after="0"/>
            </w:pPr>
            <w:r/>
            <w:r>
              <w:rPr>
                <w:rFonts w:ascii="Aptos" w:hAnsi="Aptos"/>
                <w:b w:val="0"/>
                <w:sz w:val="18"/>
              </w:rPr>
              <w:t>alpha</w:t>
            </w:r>
          </w:p>
        </w:tc>
        <w:tc>
          <w:tcPr>
            <w:tcW w:type="dxa" w:w="5040"/>
            <w:vAlign w:val="center"/>
          </w:tcPr>
          <w:p>
            <w:pPr>
              <w:spacing w:after="0"/>
            </w:pPr>
            <w:r/>
            <w:r>
              <w:rPr>
                <w:rFonts w:ascii="Aptos" w:hAnsi="Aptos"/>
                <w:b w:val="0"/>
                <w:sz w:val="18"/>
              </w:rPr>
              <w:t>0.01</w:t>
            </w:r>
          </w:p>
        </w:tc>
      </w:tr>
      <w:tr>
        <w:tc>
          <w:tcPr>
            <w:tcW w:type="dxa" w:w="5040"/>
            <w:vAlign w:val="center"/>
          </w:tcPr>
          <w:p>
            <w:pPr>
              <w:spacing w:after="0"/>
            </w:pPr>
            <w:r/>
            <w:r>
              <w:rPr>
                <w:rFonts w:ascii="Aptos" w:hAnsi="Aptos"/>
                <w:b w:val="0"/>
                <w:sz w:val="18"/>
              </w:rPr>
              <w:t>steps</w:t>
            </w:r>
          </w:p>
        </w:tc>
        <w:tc>
          <w:tcPr>
            <w:tcW w:type="dxa" w:w="5040"/>
            <w:vAlign w:val="center"/>
          </w:tcPr>
          <w:p>
            <w:pPr>
              <w:spacing w:after="0"/>
            </w:pPr>
            <w:r/>
            <w:r>
              <w:rPr>
                <w:rFonts w:ascii="Aptos" w:hAnsi="Aptos"/>
                <w:b w:val="0"/>
                <w:sz w:val="18"/>
              </w:rPr>
              <w:t>10</w:t>
            </w:r>
          </w:p>
        </w:tc>
      </w:tr>
      <w:tr>
        <w:tc>
          <w:tcPr>
            <w:tcW w:type="dxa" w:w="5040"/>
            <w:vAlign w:val="center"/>
          </w:tcPr>
          <w:p>
            <w:pPr>
              <w:spacing w:after="0"/>
            </w:pPr>
            <w:r/>
            <w:r>
              <w:rPr>
                <w:rFonts w:ascii="Aptos" w:hAnsi="Aptos"/>
                <w:b w:val="0"/>
                <w:sz w:val="18"/>
              </w:rPr>
              <w:t>Offline result</w:t>
            </w:r>
          </w:p>
        </w:tc>
        <w:tc>
          <w:tcPr>
            <w:tcW w:type="dxa" w:w="5040"/>
            <w:vAlign w:val="center"/>
          </w:tcPr>
          <w:p>
            <w:pPr>
              <w:spacing w:after="0"/>
            </w:pPr>
            <w:r/>
            <w:r>
              <w:rPr>
                <w:rFonts w:ascii="Aptos" w:hAnsi="Aptos"/>
                <w:b w:val="0"/>
                <w:sz w:val="18"/>
              </w:rPr>
              <w:t>7 -&gt; 3</w:t>
            </w:r>
          </w:p>
        </w:tc>
      </w:tr>
      <w:tr>
        <w:tc>
          <w:tcPr>
            <w:tcW w:type="dxa" w:w="5040"/>
            <w:vAlign w:val="center"/>
          </w:tcPr>
          <w:p>
            <w:pPr>
              <w:spacing w:after="0"/>
            </w:pPr>
            <w:r/>
            <w:r>
              <w:rPr>
                <w:rFonts w:ascii="Aptos" w:hAnsi="Aptos"/>
                <w:b w:val="0"/>
                <w:sz w:val="18"/>
              </w:rPr>
              <w:t>API verification</w:t>
            </w:r>
          </w:p>
        </w:tc>
        <w:tc>
          <w:tcPr>
            <w:tcW w:type="dxa" w:w="5040"/>
            <w:vAlign w:val="center"/>
          </w:tcPr>
          <w:p>
            <w:pPr>
              <w:spacing w:after="0"/>
            </w:pPr>
            <w:r/>
            <w:r>
              <w:rPr>
                <w:rFonts w:ascii="Aptos" w:hAnsi="Aptos"/>
                <w:b w:val="0"/>
                <w:sz w:val="18"/>
              </w:rPr>
              <w:t>prediction = 3</w:t>
            </w:r>
          </w:p>
        </w:tc>
      </w:tr>
    </w:tbl>
    <w:p>
      <w:pPr>
        <w:pStyle w:val="Heading2"/>
      </w:pPr>
      <w:r>
        <w:t>6.3 Attack Verification Through the API</w:t>
      </w:r>
    </w:p>
    <w:p>
      <w:r>
        <w:t>The attack evidence was verified using the same inference endpoint used for normal predictions.</w:t>
      </w:r>
    </w:p>
    <w:p>
      <w:pPr>
        <w:pStyle w:val="ListBullet"/>
        <w:spacing w:after="40"/>
      </w:pPr>
      <w:r>
        <w:t>Clean sample submitted to /predict: prediction = 7.</w:t>
      </w:r>
    </w:p>
    <w:p>
      <w:pPr>
        <w:pStyle w:val="ListBullet"/>
        <w:spacing w:after="40"/>
      </w:pPr>
      <w:r>
        <w:t>FGSM adversarial sample submitted to /predict: prediction = 3.</w:t>
      </w:r>
    </w:p>
    <w:p>
      <w:pPr>
        <w:pStyle w:val="ListBullet"/>
        <w:spacing w:after="40"/>
      </w:pPr>
      <w:r>
        <w:t>PGD adversarial sample submitted to /predict: prediction = 3.</w:t>
      </w:r>
    </w:p>
    <w:p>
      <w:pPr>
        <w:pStyle w:val="Heading1"/>
      </w:pPr>
      <w:r>
        <w:t>7. Security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rFonts w:ascii="Aptos" w:hAnsi="Aptos"/>
                <w:b/>
                <w:color w:val="FFFFFF"/>
                <w:sz w:val="16"/>
              </w:rPr>
              <w:t>ID</w:t>
            </w:r>
          </w:p>
        </w:tc>
        <w:tc>
          <w:tcPr>
            <w:tcW w:type="dxa" w:w="2016"/>
            <w:vAlign w:val="center"/>
            <w:shd w:fill="1F4E79"/>
          </w:tcPr>
          <w:p>
            <w:pPr>
              <w:spacing w:after="0"/>
            </w:pPr>
            <w:r/>
            <w:r>
              <w:rPr>
                <w:rFonts w:ascii="Aptos" w:hAnsi="Aptos"/>
                <w:b/>
                <w:color w:val="FFFFFF"/>
                <w:sz w:val="16"/>
              </w:rPr>
              <w:t>Finding</w:t>
            </w:r>
          </w:p>
        </w:tc>
        <w:tc>
          <w:tcPr>
            <w:tcW w:type="dxa" w:w="2016"/>
            <w:vAlign w:val="center"/>
            <w:shd w:fill="1F4E79"/>
          </w:tcPr>
          <w:p>
            <w:pPr>
              <w:spacing w:after="0"/>
            </w:pPr>
            <w:r/>
            <w:r>
              <w:rPr>
                <w:rFonts w:ascii="Aptos" w:hAnsi="Aptos"/>
                <w:b/>
                <w:color w:val="FFFFFF"/>
                <w:sz w:val="16"/>
              </w:rPr>
              <w:t>Evidence</w:t>
            </w:r>
          </w:p>
        </w:tc>
        <w:tc>
          <w:tcPr>
            <w:tcW w:type="dxa" w:w="2016"/>
            <w:vAlign w:val="center"/>
            <w:shd w:fill="1F4E79"/>
          </w:tcPr>
          <w:p>
            <w:pPr>
              <w:spacing w:after="0"/>
            </w:pPr>
            <w:r/>
            <w:r>
              <w:rPr>
                <w:rFonts w:ascii="Aptos" w:hAnsi="Aptos"/>
                <w:b/>
                <w:color w:val="FFFFFF"/>
                <w:sz w:val="16"/>
              </w:rPr>
              <w:t>Security implication</w:t>
            </w:r>
          </w:p>
        </w:tc>
        <w:tc>
          <w:tcPr>
            <w:tcW w:type="dxa" w:w="2016"/>
            <w:vAlign w:val="center"/>
            <w:shd w:fill="1F4E79"/>
          </w:tcPr>
          <w:p>
            <w:pPr>
              <w:spacing w:after="0"/>
            </w:pPr>
            <w:r/>
            <w:r>
              <w:rPr>
                <w:rFonts w:ascii="Aptos" w:hAnsi="Aptos"/>
                <w:b/>
                <w:color w:val="FFFFFF"/>
                <w:sz w:val="16"/>
              </w:rPr>
              <w:t>Status</w:t>
            </w:r>
          </w:p>
        </w:tc>
      </w:tr>
      <w:tr>
        <w:tc>
          <w:tcPr>
            <w:tcW w:type="dxa" w:w="2016"/>
            <w:vAlign w:val="center"/>
          </w:tcPr>
          <w:p>
            <w:pPr>
              <w:spacing w:after="0"/>
            </w:pPr>
            <w:r/>
            <w:r>
              <w:rPr>
                <w:rFonts w:ascii="Aptos" w:hAnsi="Aptos"/>
                <w:b w:val="0"/>
                <w:sz w:val="16"/>
              </w:rPr>
              <w:t>F-01</w:t>
            </w:r>
          </w:p>
        </w:tc>
        <w:tc>
          <w:tcPr>
            <w:tcW w:type="dxa" w:w="2016"/>
            <w:vAlign w:val="center"/>
          </w:tcPr>
          <w:p>
            <w:pPr>
              <w:spacing w:after="0"/>
            </w:pPr>
            <w:r/>
            <w:r>
              <w:rPr>
                <w:rFonts w:ascii="Aptos" w:hAnsi="Aptos"/>
                <w:b w:val="0"/>
                <w:sz w:val="16"/>
              </w:rPr>
              <w:t>Adversarial input can cause misclassification</w:t>
            </w:r>
          </w:p>
        </w:tc>
        <w:tc>
          <w:tcPr>
            <w:tcW w:type="dxa" w:w="2016"/>
            <w:vAlign w:val="center"/>
          </w:tcPr>
          <w:p>
            <w:pPr>
              <w:spacing w:after="0"/>
            </w:pPr>
            <w:r/>
            <w:r>
              <w:rPr>
                <w:rFonts w:ascii="Aptos" w:hAnsi="Aptos"/>
                <w:b w:val="0"/>
                <w:sz w:val="16"/>
              </w:rPr>
              <w:t>FGSM/PGD examples changed predictions</w:t>
            </w:r>
          </w:p>
        </w:tc>
        <w:tc>
          <w:tcPr>
            <w:tcW w:type="dxa" w:w="2016"/>
            <w:vAlign w:val="center"/>
          </w:tcPr>
          <w:p>
            <w:pPr>
              <w:spacing w:after="0"/>
            </w:pPr>
            <w:r/>
            <w:r>
              <w:rPr>
                <w:rFonts w:ascii="Aptos" w:hAnsi="Aptos"/>
                <w:b w:val="0"/>
                <w:sz w:val="16"/>
              </w:rPr>
              <w:t>Model inference is sensitive to crafted inputs</w:t>
            </w:r>
          </w:p>
        </w:tc>
        <w:tc>
          <w:tcPr>
            <w:tcW w:type="dxa" w:w="2016"/>
            <w:vAlign w:val="center"/>
          </w:tcPr>
          <w:p>
            <w:pPr>
              <w:spacing w:after="0"/>
            </w:pPr>
            <w:r/>
            <w:r>
              <w:rPr>
                <w:rFonts w:ascii="Aptos" w:hAnsi="Aptos"/>
                <w:b w:val="0"/>
                <w:sz w:val="16"/>
              </w:rPr>
              <w:t>Demonstrated</w:t>
            </w:r>
          </w:p>
        </w:tc>
      </w:tr>
      <w:tr>
        <w:tc>
          <w:tcPr>
            <w:tcW w:type="dxa" w:w="2016"/>
            <w:vAlign w:val="center"/>
          </w:tcPr>
          <w:p>
            <w:pPr>
              <w:spacing w:after="0"/>
            </w:pPr>
            <w:r/>
            <w:r>
              <w:rPr>
                <w:rFonts w:ascii="Aptos" w:hAnsi="Aptos"/>
                <w:b w:val="0"/>
                <w:sz w:val="16"/>
              </w:rPr>
              <w:t>F-02</w:t>
            </w:r>
          </w:p>
        </w:tc>
        <w:tc>
          <w:tcPr>
            <w:tcW w:type="dxa" w:w="2016"/>
            <w:vAlign w:val="center"/>
          </w:tcPr>
          <w:p>
            <w:pPr>
              <w:spacing w:after="0"/>
            </w:pPr>
            <w:r/>
            <w:r>
              <w:rPr>
                <w:rFonts w:ascii="Aptos" w:hAnsi="Aptos"/>
                <w:b w:val="0"/>
                <w:sz w:val="16"/>
              </w:rPr>
              <w:t>Attacker-controlled image reaches inference</w:t>
            </w:r>
          </w:p>
        </w:tc>
        <w:tc>
          <w:tcPr>
            <w:tcW w:type="dxa" w:w="2016"/>
            <w:vAlign w:val="center"/>
          </w:tcPr>
          <w:p>
            <w:pPr>
              <w:spacing w:after="0"/>
            </w:pPr>
            <w:r/>
            <w:r>
              <w:rPr>
                <w:rFonts w:ascii="Aptos" w:hAnsi="Aptos"/>
                <w:b w:val="0"/>
                <w:sz w:val="16"/>
              </w:rPr>
              <w:t>POST /predict accepts uploaded image</w:t>
            </w:r>
          </w:p>
        </w:tc>
        <w:tc>
          <w:tcPr>
            <w:tcW w:type="dxa" w:w="2016"/>
            <w:vAlign w:val="center"/>
          </w:tcPr>
          <w:p>
            <w:pPr>
              <w:spacing w:after="0"/>
            </w:pPr>
            <w:r/>
            <w:r>
              <w:rPr>
                <w:rFonts w:ascii="Aptos" w:hAnsi="Aptos"/>
                <w:b w:val="0"/>
                <w:sz w:val="16"/>
              </w:rPr>
              <w:t>Input boundary is directly exposed to the model</w:t>
            </w:r>
          </w:p>
        </w:tc>
        <w:tc>
          <w:tcPr>
            <w:tcW w:type="dxa" w:w="2016"/>
            <w:vAlign w:val="center"/>
          </w:tcPr>
          <w:p>
            <w:pPr>
              <w:spacing w:after="0"/>
            </w:pPr>
            <w:r/>
            <w:r>
              <w:rPr>
                <w:rFonts w:ascii="Aptos" w:hAnsi="Aptos"/>
                <w:b w:val="0"/>
                <w:sz w:val="16"/>
              </w:rPr>
              <w:t>Observed</w:t>
            </w:r>
          </w:p>
        </w:tc>
      </w:tr>
      <w:tr>
        <w:tc>
          <w:tcPr>
            <w:tcW w:type="dxa" w:w="2016"/>
            <w:vAlign w:val="center"/>
          </w:tcPr>
          <w:p>
            <w:pPr>
              <w:spacing w:after="0"/>
            </w:pPr>
            <w:r/>
            <w:r>
              <w:rPr>
                <w:rFonts w:ascii="Aptos" w:hAnsi="Aptos"/>
                <w:b w:val="0"/>
                <w:sz w:val="16"/>
              </w:rPr>
              <w:t>F-03</w:t>
            </w:r>
          </w:p>
        </w:tc>
        <w:tc>
          <w:tcPr>
            <w:tcW w:type="dxa" w:w="2016"/>
            <w:vAlign w:val="center"/>
          </w:tcPr>
          <w:p>
            <w:pPr>
              <w:spacing w:after="0"/>
            </w:pPr>
            <w:r/>
            <w:r>
              <w:rPr>
                <w:rFonts w:ascii="Aptos" w:hAnsi="Aptos"/>
                <w:b w:val="0"/>
                <w:sz w:val="16"/>
              </w:rPr>
              <w:t>Input size/dimension limits are required</w:t>
            </w:r>
          </w:p>
        </w:tc>
        <w:tc>
          <w:tcPr>
            <w:tcW w:type="dxa" w:w="2016"/>
            <w:vAlign w:val="center"/>
          </w:tcPr>
          <w:p>
            <w:pPr>
              <w:spacing w:after="0"/>
            </w:pPr>
            <w:r/>
            <w:r>
              <w:rPr>
                <w:rFonts w:ascii="Aptos" w:hAnsi="Aptos"/>
                <w:b w:val="0"/>
                <w:sz w:val="16"/>
              </w:rPr>
              <w:t>Large file and large-dimension tests</w:t>
            </w:r>
          </w:p>
        </w:tc>
        <w:tc>
          <w:tcPr>
            <w:tcW w:type="dxa" w:w="2016"/>
            <w:vAlign w:val="center"/>
          </w:tcPr>
          <w:p>
            <w:pPr>
              <w:spacing w:after="0"/>
            </w:pPr>
            <w:r/>
            <w:r>
              <w:rPr>
                <w:rFonts w:ascii="Aptos" w:hAnsi="Aptos"/>
                <w:b w:val="0"/>
                <w:sz w:val="16"/>
              </w:rPr>
              <w:t>Unbounded inputs can increase processing/resource exposure</w:t>
            </w:r>
          </w:p>
        </w:tc>
        <w:tc>
          <w:tcPr>
            <w:tcW w:type="dxa" w:w="2016"/>
            <w:vAlign w:val="center"/>
          </w:tcPr>
          <w:p>
            <w:pPr>
              <w:spacing w:after="0"/>
            </w:pPr>
            <w:r/>
            <w:r>
              <w:rPr>
                <w:rFonts w:ascii="Aptos" w:hAnsi="Aptos"/>
                <w:b w:val="0"/>
                <w:sz w:val="16"/>
              </w:rPr>
              <w:t>Mitigated</w:t>
            </w:r>
          </w:p>
        </w:tc>
      </w:tr>
      <w:tr>
        <w:tc>
          <w:tcPr>
            <w:tcW w:type="dxa" w:w="2016"/>
            <w:vAlign w:val="center"/>
          </w:tcPr>
          <w:p>
            <w:pPr>
              <w:spacing w:after="0"/>
            </w:pPr>
            <w:r/>
            <w:r>
              <w:rPr>
                <w:rFonts w:ascii="Aptos" w:hAnsi="Aptos"/>
                <w:b w:val="0"/>
                <w:sz w:val="16"/>
              </w:rPr>
              <w:t>F-04</w:t>
            </w:r>
          </w:p>
        </w:tc>
        <w:tc>
          <w:tcPr>
            <w:tcW w:type="dxa" w:w="2016"/>
            <w:vAlign w:val="center"/>
          </w:tcPr>
          <w:p>
            <w:pPr>
              <w:spacing w:after="0"/>
            </w:pPr>
            <w:r/>
            <w:r>
              <w:rPr>
                <w:rFonts w:ascii="Aptos" w:hAnsi="Aptos"/>
                <w:b w:val="0"/>
                <w:sz w:val="16"/>
              </w:rPr>
              <w:t>Model artifact integrity needs verification</w:t>
            </w:r>
          </w:p>
        </w:tc>
        <w:tc>
          <w:tcPr>
            <w:tcW w:type="dxa" w:w="2016"/>
            <w:vAlign w:val="center"/>
          </w:tcPr>
          <w:p>
            <w:pPr>
              <w:spacing w:after="0"/>
            </w:pPr>
            <w:r/>
            <w:r>
              <w:rPr>
                <w:rFonts w:ascii="Aptos" w:hAnsi="Aptos"/>
                <w:b w:val="0"/>
                <w:sz w:val="16"/>
              </w:rPr>
              <w:t>Controlled tamper test</w:t>
            </w:r>
          </w:p>
        </w:tc>
        <w:tc>
          <w:tcPr>
            <w:tcW w:type="dxa" w:w="2016"/>
            <w:vAlign w:val="center"/>
          </w:tcPr>
          <w:p>
            <w:pPr>
              <w:spacing w:after="0"/>
            </w:pPr>
            <w:r/>
            <w:r>
              <w:rPr>
                <w:rFonts w:ascii="Aptos" w:hAnsi="Aptos"/>
                <w:b w:val="0"/>
                <w:sz w:val="16"/>
              </w:rPr>
              <w:t>Unauthorized model replacement should be detected</w:t>
            </w:r>
          </w:p>
        </w:tc>
        <w:tc>
          <w:tcPr>
            <w:tcW w:type="dxa" w:w="2016"/>
            <w:vAlign w:val="center"/>
          </w:tcPr>
          <w:p>
            <w:pPr>
              <w:spacing w:after="0"/>
            </w:pPr>
            <w:r/>
            <w:r>
              <w:rPr>
                <w:rFonts w:ascii="Aptos" w:hAnsi="Aptos"/>
                <w:b w:val="0"/>
                <w:sz w:val="16"/>
              </w:rPr>
              <w:t>Mitigated</w:t>
            </w:r>
          </w:p>
        </w:tc>
      </w:tr>
      <w:tr>
        <w:tc>
          <w:tcPr>
            <w:tcW w:type="dxa" w:w="2016"/>
            <w:vAlign w:val="center"/>
          </w:tcPr>
          <w:p>
            <w:pPr>
              <w:spacing w:after="0"/>
            </w:pPr>
            <w:r/>
            <w:r>
              <w:rPr>
                <w:rFonts w:ascii="Aptos" w:hAnsi="Aptos"/>
                <w:b w:val="0"/>
                <w:sz w:val="16"/>
              </w:rPr>
              <w:t>F-05</w:t>
            </w:r>
          </w:p>
        </w:tc>
        <w:tc>
          <w:tcPr>
            <w:tcW w:type="dxa" w:w="2016"/>
            <w:vAlign w:val="center"/>
          </w:tcPr>
          <w:p>
            <w:pPr>
              <w:spacing w:after="0"/>
            </w:pPr>
            <w:r/>
            <w:r>
              <w:rPr>
                <w:rFonts w:ascii="Aptos" w:hAnsi="Aptos"/>
                <w:b w:val="0"/>
                <w:sz w:val="16"/>
              </w:rPr>
              <w:t>Container runtime defaults can be hardened</w:t>
            </w:r>
          </w:p>
        </w:tc>
        <w:tc>
          <w:tcPr>
            <w:tcW w:type="dxa" w:w="2016"/>
            <w:vAlign w:val="center"/>
          </w:tcPr>
          <w:p>
            <w:pPr>
              <w:spacing w:after="0"/>
            </w:pPr>
            <w:r/>
            <w:r>
              <w:rPr>
                <w:rFonts w:ascii="Aptos" w:hAnsi="Aptos"/>
                <w:b w:val="0"/>
                <w:sz w:val="16"/>
              </w:rPr>
              <w:t>Before/after Docker inspection</w:t>
            </w:r>
          </w:p>
        </w:tc>
        <w:tc>
          <w:tcPr>
            <w:tcW w:type="dxa" w:w="2016"/>
            <w:vAlign w:val="center"/>
          </w:tcPr>
          <w:p>
            <w:pPr>
              <w:spacing w:after="0"/>
            </w:pPr>
            <w:r/>
            <w:r>
              <w:rPr>
                <w:rFonts w:ascii="Aptos" w:hAnsi="Aptos"/>
                <w:b w:val="0"/>
                <w:sz w:val="16"/>
              </w:rPr>
              <w:t>Reduced privilege and filesystem access lowers impact of compromise</w:t>
            </w:r>
          </w:p>
        </w:tc>
        <w:tc>
          <w:tcPr>
            <w:tcW w:type="dxa" w:w="2016"/>
            <w:vAlign w:val="center"/>
          </w:tcPr>
          <w:p>
            <w:pPr>
              <w:spacing w:after="0"/>
            </w:pPr>
            <w:r/>
            <w:r>
              <w:rPr>
                <w:rFonts w:ascii="Aptos" w:hAnsi="Aptos"/>
                <w:b w:val="0"/>
                <w:sz w:val="16"/>
              </w:rPr>
              <w:t>Mitigated</w:t>
            </w:r>
          </w:p>
        </w:tc>
      </w:tr>
    </w:tbl>
    <w:p>
      <w:pPr>
        <w:pStyle w:val="Heading1"/>
      </w:pPr>
      <w:r>
        <w:t>8. Mitigations Implemented</w:t>
      </w:r>
    </w:p>
    <w:p>
      <w:pPr>
        <w:pStyle w:val="Heading2"/>
      </w:pPr>
      <w:r>
        <w:t>8.1 Input Validation</w:t>
      </w:r>
    </w:p>
    <w:p>
      <w:pPr>
        <w:pStyle w:val="ListBullet"/>
        <w:spacing w:after="40"/>
      </w:pPr>
      <w:r>
        <w:t>Maximum upload size: 5 * 1024 * 1024 bytes.</w:t>
      </w:r>
    </w:p>
    <w:p>
      <w:pPr>
        <w:pStyle w:val="ListBullet"/>
        <w:spacing w:after="40"/>
      </w:pPr>
      <w:r>
        <w:t>Empty uploads return HTTP 400.</w:t>
      </w:r>
    </w:p>
    <w:p>
      <w:pPr>
        <w:pStyle w:val="ListBullet"/>
        <w:spacing w:after="40"/>
      </w:pPr>
      <w:r>
        <w:t>Invalid image data returns HTTP 400.</w:t>
      </w:r>
    </w:p>
    <w:p>
      <w:pPr>
        <w:pStyle w:val="ListBullet"/>
        <w:spacing w:after="40"/>
      </w:pPr>
      <w:r>
        <w:t>Images over 2048 pixels in width or height return HTTP 413.</w:t>
      </w:r>
    </w:p>
    <w:p>
      <w:pPr>
        <w:pStyle w:val="ListBullet"/>
        <w:spacing w:after="40"/>
      </w:pPr>
      <w:r>
        <w:t>Accepted images are converted to grayscale, resized to 28 x 28, and converted to tensors before inference.</w:t>
      </w:r>
    </w:p>
    <w:p>
      <w:pPr>
        <w:pStyle w:val="Heading2"/>
      </w:pPr>
      <w:r>
        <w:t>8.2 Model Integrity</w:t>
      </w:r>
    </w:p>
    <w:p>
      <w:r>
        <w:t>The application calculates a SHA-256 digest of model/model.pth and compares it with the trusted value stored in model/model.sha256 before loading the model.</w:t>
      </w:r>
    </w:p>
    <w:p>
      <w:r>
        <w:rPr>
          <w:b/>
        </w:rPr>
        <w:t xml:space="preserve">Verified trusted SHA-256: </w:t>
      </w:r>
      <w:r>
        <w:t>5F8FF54138F8F8F242FDC3AE6A89CE4D0A9404EE4A35A2842356191D2500A8FE</w:t>
      </w:r>
    </w:p>
    <w:p>
      <w:r>
        <w:t>A controlled tamper test produced a different digest and startup was rejected with: RuntimeError: Model integrity check failed.</w:t>
      </w:r>
    </w:p>
    <w:p>
      <w:pPr>
        <w:pStyle w:val="Heading2"/>
      </w:pPr>
      <w:r>
        <w:t>8.3 Safer Model Loading</w:t>
      </w:r>
    </w:p>
    <w:p>
      <w:r>
        <w:t>The hardened API loads the saved state dictionary with weights_only=True. This provides a safer loading posture for a state-dict workflow, but it does not replace artifact trust or integrity verification.</w:t>
      </w:r>
    </w:p>
    <w:p>
      <w:pPr>
        <w:pStyle w:val="Heading1"/>
      </w:pPr>
      <w:r>
        <w:t>9. Docker Runtime Hardening</w:t>
      </w:r>
    </w:p>
    <w:p>
      <w:r>
        <w:t>The API container was hardened to reduce the impact of a potential application-level compromise.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Aptos" w:hAnsi="Aptos"/>
                <w:b/>
                <w:color w:val="FFFFFF"/>
                <w:sz w:val="17"/>
              </w:rPr>
              <w:t>Control</w:t>
            </w:r>
          </w:p>
        </w:tc>
        <w:tc>
          <w:tcPr>
            <w:tcW w:type="dxa" w:w="3360"/>
            <w:vAlign w:val="center"/>
            <w:shd w:fill="1F4E79"/>
          </w:tcPr>
          <w:p>
            <w:pPr>
              <w:spacing w:after="0"/>
            </w:pPr>
            <w:r/>
            <w:r>
              <w:rPr>
                <w:rFonts w:ascii="Aptos" w:hAnsi="Aptos"/>
                <w:b/>
                <w:color w:val="FFFFFF"/>
                <w:sz w:val="17"/>
              </w:rPr>
              <w:t>Before</w:t>
            </w:r>
          </w:p>
        </w:tc>
        <w:tc>
          <w:tcPr>
            <w:tcW w:type="dxa" w:w="3360"/>
            <w:vAlign w:val="center"/>
            <w:shd w:fill="1F4E79"/>
          </w:tcPr>
          <w:p>
            <w:pPr>
              <w:spacing w:after="0"/>
            </w:pPr>
            <w:r/>
            <w:r>
              <w:rPr>
                <w:rFonts w:ascii="Aptos" w:hAnsi="Aptos"/>
                <w:b/>
                <w:color w:val="FFFFFF"/>
                <w:sz w:val="17"/>
              </w:rPr>
              <w:t>After / verified</w:t>
            </w:r>
          </w:p>
        </w:tc>
      </w:tr>
      <w:tr>
        <w:tc>
          <w:tcPr>
            <w:tcW w:type="dxa" w:w="3360"/>
            <w:vAlign w:val="center"/>
          </w:tcPr>
          <w:p>
            <w:pPr>
              <w:spacing w:after="0"/>
            </w:pPr>
            <w:r/>
            <w:r>
              <w:rPr>
                <w:rFonts w:ascii="Aptos" w:hAnsi="Aptos"/>
                <w:b w:val="0"/>
                <w:sz w:val="17"/>
              </w:rPr>
              <w:t>Runtime user</w:t>
            </w:r>
          </w:p>
        </w:tc>
        <w:tc>
          <w:tcPr>
            <w:tcW w:type="dxa" w:w="3360"/>
            <w:vAlign w:val="center"/>
          </w:tcPr>
          <w:p>
            <w:pPr>
              <w:spacing w:after="0"/>
            </w:pPr>
            <w:r/>
            <w:r>
              <w:rPr>
                <w:rFonts w:ascii="Aptos" w:hAnsi="Aptos"/>
                <w:b w:val="0"/>
                <w:sz w:val="17"/>
              </w:rPr>
              <w:t>root</w:t>
            </w:r>
          </w:p>
        </w:tc>
        <w:tc>
          <w:tcPr>
            <w:tcW w:type="dxa" w:w="3360"/>
            <w:vAlign w:val="center"/>
          </w:tcPr>
          <w:p>
            <w:pPr>
              <w:spacing w:after="0"/>
            </w:pPr>
            <w:r/>
            <w:r>
              <w:rPr>
                <w:rFonts w:ascii="Aptos" w:hAnsi="Aptos"/>
                <w:b w:val="0"/>
                <w:sz w:val="17"/>
              </w:rPr>
              <w:t>appuser (uid 1000)</w:t>
            </w:r>
          </w:p>
        </w:tc>
      </w:tr>
      <w:tr>
        <w:tc>
          <w:tcPr>
            <w:tcW w:type="dxa" w:w="3360"/>
            <w:vAlign w:val="center"/>
          </w:tcPr>
          <w:p>
            <w:pPr>
              <w:spacing w:after="0"/>
            </w:pPr>
            <w:r/>
            <w:r>
              <w:rPr>
                <w:rFonts w:ascii="Aptos" w:hAnsi="Aptos"/>
                <w:b w:val="0"/>
                <w:sz w:val="17"/>
              </w:rPr>
              <w:t>Root filesystem</w:t>
            </w:r>
          </w:p>
        </w:tc>
        <w:tc>
          <w:tcPr>
            <w:tcW w:type="dxa" w:w="3360"/>
            <w:vAlign w:val="center"/>
          </w:tcPr>
          <w:p>
            <w:pPr>
              <w:spacing w:after="0"/>
            </w:pPr>
            <w:r/>
            <w:r>
              <w:rPr>
                <w:rFonts w:ascii="Aptos" w:hAnsi="Aptos"/>
                <w:b w:val="0"/>
                <w:sz w:val="17"/>
              </w:rPr>
              <w:t>Writable</w:t>
            </w:r>
          </w:p>
        </w:tc>
        <w:tc>
          <w:tcPr>
            <w:tcW w:type="dxa" w:w="3360"/>
            <w:vAlign w:val="center"/>
          </w:tcPr>
          <w:p>
            <w:pPr>
              <w:spacing w:after="0"/>
            </w:pPr>
            <w:r/>
            <w:r>
              <w:rPr>
                <w:rFonts w:ascii="Aptos" w:hAnsi="Aptos"/>
                <w:b w:val="0"/>
                <w:sz w:val="17"/>
              </w:rPr>
              <w:t>Read-only</w:t>
            </w:r>
          </w:p>
        </w:tc>
      </w:tr>
      <w:tr>
        <w:tc>
          <w:tcPr>
            <w:tcW w:type="dxa" w:w="3360"/>
            <w:vAlign w:val="center"/>
          </w:tcPr>
          <w:p>
            <w:pPr>
              <w:spacing w:after="0"/>
            </w:pPr>
            <w:r/>
            <w:r>
              <w:rPr>
                <w:rFonts w:ascii="Aptos" w:hAnsi="Aptos"/>
                <w:b w:val="0"/>
                <w:sz w:val="17"/>
              </w:rPr>
              <w:t>Linux capabilities</w:t>
            </w:r>
          </w:p>
        </w:tc>
        <w:tc>
          <w:tcPr>
            <w:tcW w:type="dxa" w:w="3360"/>
            <w:vAlign w:val="center"/>
          </w:tcPr>
          <w:p>
            <w:pPr>
              <w:spacing w:after="0"/>
            </w:pPr>
            <w:r/>
            <w:r>
              <w:rPr>
                <w:rFonts w:ascii="Aptos" w:hAnsi="Aptos"/>
                <w:b w:val="0"/>
                <w:sz w:val="17"/>
              </w:rPr>
              <w:t>Default</w:t>
            </w:r>
          </w:p>
        </w:tc>
        <w:tc>
          <w:tcPr>
            <w:tcW w:type="dxa" w:w="3360"/>
            <w:vAlign w:val="center"/>
          </w:tcPr>
          <w:p>
            <w:pPr>
              <w:spacing w:after="0"/>
            </w:pPr>
            <w:r/>
            <w:r>
              <w:rPr>
                <w:rFonts w:ascii="Aptos" w:hAnsi="Aptos"/>
                <w:b w:val="0"/>
                <w:sz w:val="17"/>
              </w:rPr>
              <w:t>All dropped</w:t>
            </w:r>
          </w:p>
        </w:tc>
      </w:tr>
      <w:tr>
        <w:tc>
          <w:tcPr>
            <w:tcW w:type="dxa" w:w="3360"/>
            <w:vAlign w:val="center"/>
          </w:tcPr>
          <w:p>
            <w:pPr>
              <w:spacing w:after="0"/>
            </w:pPr>
            <w:r/>
            <w:r>
              <w:rPr>
                <w:rFonts w:ascii="Aptos" w:hAnsi="Aptos"/>
                <w:b w:val="0"/>
                <w:sz w:val="17"/>
              </w:rPr>
              <w:t>Privilege escalation</w:t>
            </w:r>
          </w:p>
        </w:tc>
        <w:tc>
          <w:tcPr>
            <w:tcW w:type="dxa" w:w="3360"/>
            <w:vAlign w:val="center"/>
          </w:tcPr>
          <w:p>
            <w:pPr>
              <w:spacing w:after="0"/>
            </w:pPr>
            <w:r/>
            <w:r>
              <w:rPr>
                <w:rFonts w:ascii="Aptos" w:hAnsi="Aptos"/>
                <w:b w:val="0"/>
                <w:sz w:val="17"/>
              </w:rPr>
              <w:t>Default</w:t>
            </w:r>
          </w:p>
        </w:tc>
        <w:tc>
          <w:tcPr>
            <w:tcW w:type="dxa" w:w="3360"/>
            <w:vAlign w:val="center"/>
          </w:tcPr>
          <w:p>
            <w:pPr>
              <w:spacing w:after="0"/>
            </w:pPr>
            <w:r/>
            <w:r>
              <w:rPr>
                <w:rFonts w:ascii="Aptos" w:hAnsi="Aptos"/>
                <w:b w:val="0"/>
                <w:sz w:val="17"/>
              </w:rPr>
              <w:t>no-new-privileges:true</w:t>
            </w:r>
          </w:p>
        </w:tc>
      </w:tr>
      <w:tr>
        <w:tc>
          <w:tcPr>
            <w:tcW w:type="dxa" w:w="3360"/>
            <w:vAlign w:val="center"/>
          </w:tcPr>
          <w:p>
            <w:pPr>
              <w:spacing w:after="0"/>
            </w:pPr>
            <w:r/>
            <w:r>
              <w:rPr>
                <w:rFonts w:ascii="Aptos" w:hAnsi="Aptos"/>
                <w:b w:val="0"/>
                <w:sz w:val="17"/>
              </w:rPr>
              <w:t>Temporary storage</w:t>
            </w:r>
          </w:p>
        </w:tc>
        <w:tc>
          <w:tcPr>
            <w:tcW w:type="dxa" w:w="3360"/>
            <w:vAlign w:val="center"/>
          </w:tcPr>
          <w:p>
            <w:pPr>
              <w:spacing w:after="0"/>
            </w:pPr>
            <w:r/>
            <w:r>
              <w:rPr>
                <w:rFonts w:ascii="Aptos" w:hAnsi="Aptos"/>
                <w:b w:val="0"/>
                <w:sz w:val="17"/>
              </w:rPr>
              <w:t>Not restricted</w:t>
            </w:r>
          </w:p>
        </w:tc>
        <w:tc>
          <w:tcPr>
            <w:tcW w:type="dxa" w:w="3360"/>
            <w:vAlign w:val="center"/>
          </w:tcPr>
          <w:p>
            <w:pPr>
              <w:spacing w:after="0"/>
            </w:pPr>
            <w:r/>
            <w:r>
              <w:rPr>
                <w:rFonts w:ascii="Aptos" w:hAnsi="Aptos"/>
                <w:b w:val="0"/>
                <w:sz w:val="17"/>
              </w:rPr>
              <w:t>/tmp writable via tmpfs</w:t>
            </w:r>
          </w:p>
        </w:tc>
      </w:tr>
    </w:tbl>
    <w:p>
      <w:r>
        <w:t>Verification included rejection of a write to the read-only root filesystem, successful temporary writing to /tmp, zero effective/bounding capabilities, and NoNewPrivs: 1.</w:t>
      </w:r>
    </w:p>
    <w:p>
      <w:pPr>
        <w:pStyle w:val="Heading1"/>
      </w:pPr>
      <w:r>
        <w:t>10. Post-Mitigation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Aptos" w:hAnsi="Aptos"/>
                <w:b/>
                <w:color w:val="FFFFFF"/>
                <w:sz w:val="17"/>
              </w:rPr>
              <w:t>Test</w:t>
            </w:r>
          </w:p>
        </w:tc>
        <w:tc>
          <w:tcPr>
            <w:tcW w:type="dxa" w:w="3360"/>
            <w:vAlign w:val="center"/>
            <w:shd w:fill="1F4E79"/>
          </w:tcPr>
          <w:p>
            <w:pPr>
              <w:spacing w:after="0"/>
            </w:pPr>
            <w:r/>
            <w:r>
              <w:rPr>
                <w:rFonts w:ascii="Aptos" w:hAnsi="Aptos"/>
                <w:b/>
                <w:color w:val="FFFFFF"/>
                <w:sz w:val="17"/>
              </w:rPr>
              <w:t>Expected</w:t>
            </w:r>
          </w:p>
        </w:tc>
        <w:tc>
          <w:tcPr>
            <w:tcW w:type="dxa" w:w="3360"/>
            <w:vAlign w:val="center"/>
            <w:shd w:fill="1F4E79"/>
          </w:tcPr>
          <w:p>
            <w:pPr>
              <w:spacing w:after="0"/>
            </w:pPr>
            <w:r/>
            <w:r>
              <w:rPr>
                <w:rFonts w:ascii="Aptos" w:hAnsi="Aptos"/>
                <w:b/>
                <w:color w:val="FFFFFF"/>
                <w:sz w:val="17"/>
              </w:rPr>
              <w:t>Result</w:t>
            </w:r>
          </w:p>
        </w:tc>
      </w:tr>
      <w:tr>
        <w:tc>
          <w:tcPr>
            <w:tcW w:type="dxa" w:w="3360"/>
            <w:vAlign w:val="center"/>
          </w:tcPr>
          <w:p>
            <w:pPr>
              <w:spacing w:after="0"/>
            </w:pPr>
            <w:r/>
            <w:r>
              <w:rPr>
                <w:rFonts w:ascii="Aptos" w:hAnsi="Aptos"/>
                <w:b w:val="0"/>
                <w:sz w:val="17"/>
              </w:rPr>
              <w:t>API health</w:t>
            </w:r>
          </w:p>
        </w:tc>
        <w:tc>
          <w:tcPr>
            <w:tcW w:type="dxa" w:w="3360"/>
            <w:vAlign w:val="center"/>
          </w:tcPr>
          <w:p>
            <w:pPr>
              <w:spacing w:after="0"/>
            </w:pPr>
            <w:r/>
            <w:r>
              <w:rPr>
                <w:rFonts w:ascii="Aptos" w:hAnsi="Aptos"/>
                <w:b w:val="0"/>
                <w:sz w:val="17"/>
              </w:rPr>
              <w:t>Service returns OK</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Normal prediction</w:t>
            </w:r>
          </w:p>
        </w:tc>
        <w:tc>
          <w:tcPr>
            <w:tcW w:type="dxa" w:w="3360"/>
            <w:vAlign w:val="center"/>
          </w:tcPr>
          <w:p>
            <w:pPr>
              <w:spacing w:after="0"/>
            </w:pPr>
            <w:r/>
            <w:r>
              <w:rPr>
                <w:rFonts w:ascii="Aptos" w:hAnsi="Aptos"/>
                <w:b w:val="0"/>
                <w:sz w:val="17"/>
              </w:rPr>
              <w:t>Clean sample remains 7</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FGSM API verification</w:t>
            </w:r>
          </w:p>
        </w:tc>
        <w:tc>
          <w:tcPr>
            <w:tcW w:type="dxa" w:w="3360"/>
            <w:vAlign w:val="center"/>
          </w:tcPr>
          <w:p>
            <w:pPr>
              <w:spacing w:after="0"/>
            </w:pPr>
            <w:r/>
            <w:r>
              <w:rPr>
                <w:rFonts w:ascii="Aptos" w:hAnsi="Aptos"/>
                <w:b w:val="0"/>
                <w:sz w:val="17"/>
              </w:rPr>
              <w:t>Adversarial prediction reproduced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PGD API verification</w:t>
            </w:r>
          </w:p>
        </w:tc>
        <w:tc>
          <w:tcPr>
            <w:tcW w:type="dxa" w:w="3360"/>
            <w:vAlign w:val="center"/>
          </w:tcPr>
          <w:p>
            <w:pPr>
              <w:spacing w:after="0"/>
            </w:pPr>
            <w:r/>
            <w:r>
              <w:rPr>
                <w:rFonts w:ascii="Aptos" w:hAnsi="Aptos"/>
                <w:b w:val="0"/>
                <w:sz w:val="17"/>
              </w:rPr>
              <w:t>Adversarial prediction reproduced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Invalid file</w:t>
            </w:r>
          </w:p>
        </w:tc>
        <w:tc>
          <w:tcPr>
            <w:tcW w:type="dxa" w:w="3360"/>
            <w:vAlign w:val="center"/>
          </w:tcPr>
          <w:p>
            <w:pPr>
              <w:spacing w:after="0"/>
            </w:pPr>
            <w:r/>
            <w:r>
              <w:rPr>
                <w:rFonts w:ascii="Aptos" w:hAnsi="Aptos"/>
                <w:b w:val="0"/>
                <w:sz w:val="17"/>
              </w:rPr>
              <w:t>HTTP 400</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Large file</w:t>
            </w:r>
          </w:p>
        </w:tc>
        <w:tc>
          <w:tcPr>
            <w:tcW w:type="dxa" w:w="3360"/>
            <w:vAlign w:val="center"/>
          </w:tcPr>
          <w:p>
            <w:pPr>
              <w:spacing w:after="0"/>
            </w:pPr>
            <w:r/>
            <w:r>
              <w:rPr>
                <w:rFonts w:ascii="Aptos" w:hAnsi="Aptos"/>
                <w:b w:val="0"/>
                <w:sz w:val="17"/>
              </w:rPr>
              <w:t>HTTP 413</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Large dimensions</w:t>
            </w:r>
          </w:p>
        </w:tc>
        <w:tc>
          <w:tcPr>
            <w:tcW w:type="dxa" w:w="3360"/>
            <w:vAlign w:val="center"/>
          </w:tcPr>
          <w:p>
            <w:pPr>
              <w:spacing w:after="0"/>
            </w:pPr>
            <w:r/>
            <w:r>
              <w:rPr>
                <w:rFonts w:ascii="Aptos" w:hAnsi="Aptos"/>
                <w:b w:val="0"/>
                <w:sz w:val="17"/>
              </w:rPr>
              <w:t>HTTP 413</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Tampered model</w:t>
            </w:r>
          </w:p>
        </w:tc>
        <w:tc>
          <w:tcPr>
            <w:tcW w:type="dxa" w:w="3360"/>
            <w:vAlign w:val="center"/>
          </w:tcPr>
          <w:p>
            <w:pPr>
              <w:spacing w:after="0"/>
            </w:pPr>
            <w:r/>
            <w:r>
              <w:rPr>
                <w:rFonts w:ascii="Aptos" w:hAnsi="Aptos"/>
                <w:b w:val="0"/>
                <w:sz w:val="17"/>
              </w:rPr>
              <w:t>Startup rejected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Read-only root</w:t>
            </w:r>
          </w:p>
        </w:tc>
        <w:tc>
          <w:tcPr>
            <w:tcW w:type="dxa" w:w="3360"/>
            <w:vAlign w:val="center"/>
          </w:tcPr>
          <w:p>
            <w:pPr>
              <w:spacing w:after="0"/>
            </w:pPr>
            <w:r/>
            <w:r>
              <w:rPr>
                <w:rFonts w:ascii="Aptos" w:hAnsi="Aptos"/>
                <w:b w:val="0"/>
                <w:sz w:val="17"/>
              </w:rPr>
              <w:t>Write rejected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/tmp</w:t>
            </w:r>
          </w:p>
        </w:tc>
        <w:tc>
          <w:tcPr>
            <w:tcW w:type="dxa" w:w="3360"/>
            <w:vAlign w:val="center"/>
          </w:tcPr>
          <w:p>
            <w:pPr>
              <w:spacing w:after="0"/>
            </w:pPr>
            <w:r/>
            <w:r>
              <w:rPr>
                <w:rFonts w:ascii="Aptos" w:hAnsi="Aptos"/>
                <w:b w:val="0"/>
                <w:sz w:val="17"/>
              </w:rPr>
              <w:t>Temporary write allowed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Capabilities</w:t>
            </w:r>
          </w:p>
        </w:tc>
        <w:tc>
          <w:tcPr>
            <w:tcW w:type="dxa" w:w="3360"/>
            <w:vAlign w:val="center"/>
          </w:tcPr>
          <w:p>
            <w:pPr>
              <w:spacing w:after="0"/>
            </w:pPr>
            <w:r/>
            <w:r>
              <w:rPr>
                <w:rFonts w:ascii="Aptos" w:hAnsi="Aptos"/>
                <w:b w:val="0"/>
                <w:sz w:val="17"/>
              </w:rPr>
              <w:t>Dropped</w:t>
            </w:r>
          </w:p>
        </w:tc>
        <w:tc>
          <w:tcPr>
            <w:tcW w:type="dxa" w:w="3360"/>
            <w:vAlign w:val="center"/>
          </w:tcPr>
          <w:p>
            <w:pPr>
              <w:spacing w:after="0"/>
            </w:pPr>
            <w:r/>
            <w:r>
              <w:rPr>
                <w:rFonts w:ascii="Aptos" w:hAnsi="Aptos"/>
                <w:b w:val="0"/>
                <w:sz w:val="17"/>
              </w:rPr>
              <w:t>PASS</w:t>
            </w:r>
          </w:p>
        </w:tc>
      </w:tr>
      <w:tr>
        <w:tc>
          <w:tcPr>
            <w:tcW w:type="dxa" w:w="3360"/>
            <w:vAlign w:val="center"/>
          </w:tcPr>
          <w:p>
            <w:pPr>
              <w:spacing w:after="0"/>
            </w:pPr>
            <w:r/>
            <w:r>
              <w:rPr>
                <w:rFonts w:ascii="Aptos" w:hAnsi="Aptos"/>
                <w:b w:val="0"/>
                <w:sz w:val="17"/>
              </w:rPr>
              <w:t>No-new-privileges</w:t>
            </w:r>
          </w:p>
        </w:tc>
        <w:tc>
          <w:tcPr>
            <w:tcW w:type="dxa" w:w="3360"/>
            <w:vAlign w:val="center"/>
          </w:tcPr>
          <w:p>
            <w:pPr>
              <w:spacing w:after="0"/>
            </w:pPr>
            <w:r/>
            <w:r>
              <w:rPr>
                <w:rFonts w:ascii="Aptos" w:hAnsi="Aptos"/>
                <w:b w:val="0"/>
                <w:sz w:val="17"/>
              </w:rPr>
              <w:t>Enabled</w:t>
            </w:r>
          </w:p>
        </w:tc>
        <w:tc>
          <w:tcPr>
            <w:tcW w:type="dxa" w:w="3360"/>
            <w:vAlign w:val="center"/>
          </w:tcPr>
          <w:p>
            <w:pPr>
              <w:spacing w:after="0"/>
            </w:pPr>
            <w:r/>
            <w:r>
              <w:rPr>
                <w:rFonts w:ascii="Aptos" w:hAnsi="Aptos"/>
                <w:b w:val="0"/>
                <w:sz w:val="17"/>
              </w:rPr>
              <w:t>PASS</w:t>
            </w:r>
          </w:p>
        </w:tc>
      </w:tr>
    </w:tbl>
    <w:p>
      <w:pPr>
        <w:pStyle w:val="Heading1"/>
      </w:pPr>
      <w:r>
        <w:t>11. Bonus: Black-Box Model Extraction</w:t>
      </w:r>
    </w:p>
    <w:p>
      <w:r>
        <w:t>A separate black-box experiment queried the model through the API, collected only top-1 labels, and trained a substitute model. Weights, gradients, logits, and confidence scores were not exposed.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Aptos" w:hAnsi="Aptos"/>
                <w:b/>
                <w:color w:val="FFFFFF"/>
                <w:sz w:val="18"/>
              </w:rPr>
              <w:t>Experiment</w:t>
            </w:r>
          </w:p>
        </w:tc>
        <w:tc>
          <w:tcPr>
            <w:tcW w:type="dxa" w:w="2520"/>
            <w:vAlign w:val="center"/>
            <w:shd w:fill="1F4E79"/>
          </w:tcPr>
          <w:p>
            <w:pPr>
              <w:spacing w:after="0"/>
            </w:pPr>
            <w:r/>
            <w:r>
              <w:rPr>
                <w:rFonts w:ascii="Aptos" w:hAnsi="Aptos"/>
                <w:b/>
                <w:color w:val="FFFFFF"/>
                <w:sz w:val="18"/>
              </w:rPr>
              <w:t>Training queries</w:t>
            </w:r>
          </w:p>
        </w:tc>
        <w:tc>
          <w:tcPr>
            <w:tcW w:type="dxa" w:w="2520"/>
            <w:vAlign w:val="center"/>
            <w:shd w:fill="1F4E79"/>
          </w:tcPr>
          <w:p>
            <w:pPr>
              <w:spacing w:after="0"/>
            </w:pPr>
            <w:r/>
            <w:r>
              <w:rPr>
                <w:rFonts w:ascii="Aptos" w:hAnsi="Aptos"/>
                <w:b/>
                <w:color w:val="FFFFFF"/>
                <w:sz w:val="18"/>
              </w:rPr>
              <w:t>Unseen evaluation</w:t>
            </w:r>
          </w:p>
        </w:tc>
        <w:tc>
          <w:tcPr>
            <w:tcW w:type="dxa" w:w="2520"/>
            <w:vAlign w:val="center"/>
            <w:shd w:fill="1F4E79"/>
          </w:tcPr>
          <w:p>
            <w:pPr>
              <w:spacing w:after="0"/>
            </w:pPr>
            <w:r/>
            <w:r>
              <w:rPr>
                <w:rFonts w:ascii="Aptos" w:hAnsi="Aptos"/>
                <w:b/>
                <w:color w:val="FFFFFF"/>
                <w:sz w:val="18"/>
              </w:rPr>
              <w:t>Target-match fidelity</w:t>
            </w:r>
          </w:p>
        </w:tc>
      </w:tr>
      <w:tr>
        <w:tc>
          <w:tcPr>
            <w:tcW w:type="dxa" w:w="2520"/>
            <w:vAlign w:val="center"/>
          </w:tcPr>
          <w:p>
            <w:pPr>
              <w:spacing w:after="0"/>
            </w:pPr>
            <w:r/>
            <w:r>
              <w:rPr>
                <w:rFonts w:ascii="Aptos" w:hAnsi="Aptos"/>
                <w:b w:val="0"/>
                <w:sz w:val="18"/>
              </w:rPr>
              <w:t>50-query experiment</w:t>
            </w:r>
          </w:p>
        </w:tc>
        <w:tc>
          <w:tcPr>
            <w:tcW w:type="dxa" w:w="2520"/>
            <w:vAlign w:val="center"/>
          </w:tcPr>
          <w:p>
            <w:pPr>
              <w:spacing w:after="0"/>
            </w:pPr>
            <w:r/>
            <w:r>
              <w:rPr>
                <w:rFonts w:ascii="Aptos" w:hAnsi="Aptos"/>
                <w:b w:val="0"/>
                <w:sz w:val="18"/>
              </w:rPr>
              <w:t>50</w:t>
            </w:r>
          </w:p>
        </w:tc>
        <w:tc>
          <w:tcPr>
            <w:tcW w:type="dxa" w:w="2520"/>
            <w:vAlign w:val="center"/>
          </w:tcPr>
          <w:p>
            <w:pPr>
              <w:spacing w:after="0"/>
            </w:pPr>
            <w:r/>
            <w:r>
              <w:rPr>
                <w:rFonts w:ascii="Aptos" w:hAnsi="Aptos"/>
                <w:b w:val="0"/>
                <w:sz w:val="18"/>
              </w:rPr>
              <w:t>50</w:t>
            </w:r>
          </w:p>
        </w:tc>
        <w:tc>
          <w:tcPr>
            <w:tcW w:type="dxa" w:w="2520"/>
            <w:vAlign w:val="center"/>
          </w:tcPr>
          <w:p>
            <w:pPr>
              <w:spacing w:after="0"/>
            </w:pPr>
            <w:r/>
            <w:r>
              <w:rPr>
                <w:rFonts w:ascii="Aptos" w:hAnsi="Aptos"/>
                <w:b w:val="0"/>
                <w:sz w:val="18"/>
              </w:rPr>
              <w:t>66.00% (33/50)</w:t>
            </w:r>
          </w:p>
        </w:tc>
      </w:tr>
      <w:tr>
        <w:tc>
          <w:tcPr>
            <w:tcW w:type="dxa" w:w="2520"/>
            <w:vAlign w:val="center"/>
          </w:tcPr>
          <w:p>
            <w:pPr>
              <w:spacing w:after="0"/>
            </w:pPr>
            <w:r/>
            <w:r>
              <w:rPr>
                <w:rFonts w:ascii="Aptos" w:hAnsi="Aptos"/>
                <w:b w:val="0"/>
                <w:sz w:val="18"/>
              </w:rPr>
              <w:t>500-query experiment</w:t>
            </w:r>
          </w:p>
        </w:tc>
        <w:tc>
          <w:tcPr>
            <w:tcW w:type="dxa" w:w="2520"/>
            <w:vAlign w:val="center"/>
          </w:tcPr>
          <w:p>
            <w:pPr>
              <w:spacing w:after="0"/>
            </w:pPr>
            <w:r/>
            <w:r>
              <w:rPr>
                <w:rFonts w:ascii="Aptos" w:hAnsi="Aptos"/>
                <w:b w:val="0"/>
                <w:sz w:val="18"/>
              </w:rPr>
              <w:t>500</w:t>
            </w:r>
          </w:p>
        </w:tc>
        <w:tc>
          <w:tcPr>
            <w:tcW w:type="dxa" w:w="2520"/>
            <w:vAlign w:val="center"/>
          </w:tcPr>
          <w:p>
            <w:pPr>
              <w:spacing w:after="0"/>
            </w:pPr>
            <w:r/>
            <w:r>
              <w:rPr>
                <w:rFonts w:ascii="Aptos" w:hAnsi="Aptos"/>
                <w:b w:val="0"/>
                <w:sz w:val="18"/>
              </w:rPr>
              <w:t>100</w:t>
            </w:r>
          </w:p>
        </w:tc>
        <w:tc>
          <w:tcPr>
            <w:tcW w:type="dxa" w:w="2520"/>
            <w:vAlign w:val="center"/>
          </w:tcPr>
          <w:p>
            <w:pPr>
              <w:spacing w:after="0"/>
            </w:pPr>
            <w:r/>
            <w:r>
              <w:rPr>
                <w:rFonts w:ascii="Aptos" w:hAnsi="Aptos"/>
                <w:b w:val="0"/>
                <w:sz w:val="18"/>
              </w:rPr>
              <w:t>83.00% (83/100)</w:t>
            </w:r>
          </w:p>
        </w:tc>
      </w:tr>
    </w:tbl>
    <w:p>
      <w:r>
        <w:t>The 83% value is fidelity: the percentage of substitute predictions matching the target model on the evaluation set. It is not the original model accuracy and does not represent exact weight recovery.</w:t>
      </w:r>
    </w:p>
    <w:p>
      <w:pPr>
        <w:pStyle w:val="Heading1"/>
      </w:pPr>
      <w:r>
        <w:t>12. Framework Alignment</w:t>
      </w:r>
    </w:p>
    <w:p>
      <w:pPr>
        <w:pStyle w:val="Heading2"/>
      </w:pPr>
      <w:r>
        <w:t>12.1 MITRE ATLAS</w:t>
      </w:r>
    </w:p>
    <w:p>
      <w:pPr>
        <w:pStyle w:val="ListBullet"/>
        <w:spacing w:after="40"/>
      </w:pPr>
      <w:r>
        <w:t>AML.T0040 - AI Model Inference API Access: the inference API was the principal black-box interface.</w:t>
      </w:r>
    </w:p>
    <w:p>
      <w:pPr>
        <w:pStyle w:val="ListBullet"/>
        <w:spacing w:after="40"/>
      </w:pPr>
      <w:r>
        <w:t>AML.T0043 - Craft Adversarial Data: adversarial inputs were created using gradient-based methods.</w:t>
      </w:r>
    </w:p>
    <w:p>
      <w:pPr>
        <w:pStyle w:val="ListBullet"/>
        <w:spacing w:after="40"/>
      </w:pPr>
      <w:r>
        <w:t>AML.T0042 - Verify Attack: generated samples were verified against the deployed API.</w:t>
      </w:r>
    </w:p>
    <w:p>
      <w:pPr>
        <w:pStyle w:val="ListBullet"/>
        <w:spacing w:after="40"/>
      </w:pPr>
      <w:r>
        <w:t>AML.T0031 - Erode ML Model Integrity: model-integrity protection and controlled tamper testing addressed artifact trust.</w:t>
      </w:r>
    </w:p>
    <w:p>
      <w:pPr>
        <w:pStyle w:val="Heading2"/>
      </w:pPr>
      <w:r>
        <w:t>12.2 NIST AI RMF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8"/>
              </w:rPr>
              <w:t>Function</w:t>
            </w:r>
          </w:p>
        </w:tc>
        <w:tc>
          <w:tcPr>
            <w:tcW w:type="dxa" w:w="5040"/>
            <w:vAlign w:val="center"/>
            <w:shd w:fill="1F4E79"/>
          </w:tcPr>
          <w:p>
            <w:pPr>
              <w:spacing w:after="0"/>
            </w:pPr>
            <w:r/>
            <w:r>
              <w:rPr>
                <w:rFonts w:ascii="Aptos" w:hAnsi="Aptos"/>
                <w:b/>
                <w:color w:val="FFFFFF"/>
                <w:sz w:val="18"/>
              </w:rPr>
              <w:t>Assessment mapping</w:t>
            </w:r>
          </w:p>
        </w:tc>
      </w:tr>
      <w:tr>
        <w:tc>
          <w:tcPr>
            <w:tcW w:type="dxa" w:w="5040"/>
            <w:vAlign w:val="center"/>
          </w:tcPr>
          <w:p>
            <w:pPr>
              <w:spacing w:after="0"/>
            </w:pPr>
            <w:r/>
            <w:r>
              <w:rPr>
                <w:rFonts w:ascii="Aptos" w:hAnsi="Aptos"/>
                <w:b w:val="0"/>
                <w:sz w:val="18"/>
              </w:rPr>
              <w:t>GOVERN</w:t>
            </w:r>
          </w:p>
        </w:tc>
        <w:tc>
          <w:tcPr>
            <w:tcW w:type="dxa" w:w="5040"/>
            <w:vAlign w:val="center"/>
          </w:tcPr>
          <w:p>
            <w:pPr>
              <w:spacing w:after="0"/>
            </w:pPr>
            <w:r/>
            <w:r>
              <w:rPr>
                <w:rFonts w:ascii="Aptos" w:hAnsi="Aptos"/>
                <w:b w:val="0"/>
                <w:sz w:val="18"/>
              </w:rPr>
              <w:t>Security documentation and AI usage records</w:t>
            </w:r>
          </w:p>
        </w:tc>
      </w:tr>
      <w:tr>
        <w:tc>
          <w:tcPr>
            <w:tcW w:type="dxa" w:w="5040"/>
            <w:vAlign w:val="center"/>
          </w:tcPr>
          <w:p>
            <w:pPr>
              <w:spacing w:after="0"/>
            </w:pPr>
            <w:r/>
            <w:r>
              <w:rPr>
                <w:rFonts w:ascii="Aptos" w:hAnsi="Aptos"/>
                <w:b w:val="0"/>
                <w:sz w:val="18"/>
              </w:rPr>
              <w:t>MAP</w:t>
            </w:r>
          </w:p>
        </w:tc>
        <w:tc>
          <w:tcPr>
            <w:tcW w:type="dxa" w:w="5040"/>
            <w:vAlign w:val="center"/>
          </w:tcPr>
          <w:p>
            <w:pPr>
              <w:spacing w:after="0"/>
            </w:pPr>
            <w:r/>
            <w:r>
              <w:rPr>
                <w:rFonts w:ascii="Aptos" w:hAnsi="Aptos"/>
                <w:b w:val="0"/>
                <w:sz w:val="18"/>
              </w:rPr>
              <w:t>Attack-surface and risk identification</w:t>
            </w:r>
          </w:p>
        </w:tc>
      </w:tr>
      <w:tr>
        <w:tc>
          <w:tcPr>
            <w:tcW w:type="dxa" w:w="5040"/>
            <w:vAlign w:val="center"/>
          </w:tcPr>
          <w:p>
            <w:pPr>
              <w:spacing w:after="0"/>
            </w:pPr>
            <w:r/>
            <w:r>
              <w:rPr>
                <w:rFonts w:ascii="Aptos" w:hAnsi="Aptos"/>
                <w:b w:val="0"/>
                <w:sz w:val="18"/>
              </w:rPr>
              <w:t>MEASURE</w:t>
            </w:r>
          </w:p>
        </w:tc>
        <w:tc>
          <w:tcPr>
            <w:tcW w:type="dxa" w:w="5040"/>
            <w:vAlign w:val="center"/>
          </w:tcPr>
          <w:p>
            <w:pPr>
              <w:spacing w:after="0"/>
            </w:pPr>
            <w:r/>
            <w:r>
              <w:rPr>
                <w:rFonts w:ascii="Aptos" w:hAnsi="Aptos"/>
                <w:b w:val="0"/>
                <w:sz w:val="18"/>
              </w:rPr>
              <w:t>Baseline accuracy, FGSM, PGD, and security tests</w:t>
            </w:r>
          </w:p>
        </w:tc>
      </w:tr>
      <w:tr>
        <w:tc>
          <w:tcPr>
            <w:tcW w:type="dxa" w:w="5040"/>
            <w:vAlign w:val="center"/>
          </w:tcPr>
          <w:p>
            <w:pPr>
              <w:spacing w:after="0"/>
            </w:pPr>
            <w:r/>
            <w:r>
              <w:rPr>
                <w:rFonts w:ascii="Aptos" w:hAnsi="Aptos"/>
                <w:b w:val="0"/>
                <w:sz w:val="18"/>
              </w:rPr>
              <w:t>MANAGE</w:t>
            </w:r>
          </w:p>
        </w:tc>
        <w:tc>
          <w:tcPr>
            <w:tcW w:type="dxa" w:w="5040"/>
            <w:vAlign w:val="center"/>
          </w:tcPr>
          <w:p>
            <w:pPr>
              <w:spacing w:after="0"/>
            </w:pPr>
            <w:r/>
            <w:r>
              <w:rPr>
                <w:rFonts w:ascii="Aptos" w:hAnsi="Aptos"/>
                <w:b w:val="0"/>
                <w:sz w:val="18"/>
              </w:rPr>
              <w:t>Input validation, model integrity, and Docker hardening</w:t>
            </w:r>
          </w:p>
        </w:tc>
      </w:tr>
    </w:tbl>
    <w:p>
      <w:pPr>
        <w:pStyle w:val="Heading1"/>
      </w:pPr>
      <w:r>
        <w:t>13. Evidence and Reproducibility</w:t>
      </w:r>
    </w:p>
    <w:p>
      <w:r>
        <w:t>Key files supporting the assessment include:</w:t>
      </w:r>
    </w:p>
    <w:p>
      <w:pPr>
        <w:pStyle w:val="ListBullet"/>
        <w:spacing w:after="40"/>
      </w:pPr>
      <w:r>
        <w:t>model/model.py - model architecture</w:t>
      </w:r>
    </w:p>
    <w:p>
      <w:pPr>
        <w:pStyle w:val="ListBullet"/>
        <w:spacing w:after="40"/>
      </w:pPr>
      <w:r>
        <w:t>model/train.py - training implementation</w:t>
      </w:r>
    </w:p>
    <w:p>
      <w:pPr>
        <w:pStyle w:val="ListBullet"/>
        <w:spacing w:after="40"/>
      </w:pPr>
      <w:r>
        <w:t>model/evaluate.py - baseline evaluation</w:t>
      </w:r>
    </w:p>
    <w:p>
      <w:pPr>
        <w:pStyle w:val="ListBullet"/>
        <w:spacing w:after="40"/>
      </w:pPr>
      <w:r>
        <w:t>api/app.py - API, validation, model integrity, and inference</w:t>
      </w:r>
    </w:p>
    <w:p>
      <w:pPr>
        <w:pStyle w:val="ListBullet"/>
        <w:spacing w:after="40"/>
      </w:pPr>
      <w:r>
        <w:t>api/Dockerfile - hardened container definition</w:t>
      </w:r>
    </w:p>
    <w:p>
      <w:pPr>
        <w:pStyle w:val="ListBullet"/>
        <w:spacing w:after="40"/>
      </w:pPr>
      <w:r>
        <w:t>attacks/attack_01_fgsm.py and attacks/attack_02_fgsm.py - FGSM demonstrations</w:t>
      </w:r>
    </w:p>
    <w:p>
      <w:pPr>
        <w:pStyle w:val="ListBullet"/>
        <w:spacing w:after="40"/>
      </w:pPr>
      <w:r>
        <w:t>attacks/fgsm_from_scratch.py - manual FGSM implementation</w:t>
      </w:r>
    </w:p>
    <w:p>
      <w:pPr>
        <w:pStyle w:val="ListBullet"/>
        <w:spacing w:after="40"/>
      </w:pPr>
      <w:r>
        <w:t>attacks/pgd_from_scratch.py - manual PGD implementation</w:t>
      </w:r>
    </w:p>
    <w:p>
      <w:pPr>
        <w:pStyle w:val="ListBullet"/>
        <w:spacing w:after="40"/>
      </w:pPr>
      <w:r>
        <w:t>samples/original/ - clean attack inputs</w:t>
      </w:r>
    </w:p>
    <w:p>
      <w:pPr>
        <w:pStyle w:val="ListBullet"/>
        <w:spacing w:after="40"/>
      </w:pPr>
      <w:r>
        <w:t>samples/adversarial/ - adversarial attack inputs</w:t>
      </w:r>
    </w:p>
    <w:p>
      <w:pPr>
        <w:pStyle w:val="ListBullet"/>
        <w:spacing w:after="40"/>
      </w:pPr>
      <w:r>
        <w:t>samples/extraction/ and samples/extraction_500/ - extraction artifacts</w:t>
      </w:r>
    </w:p>
    <w:p>
      <w:pPr>
        <w:pStyle w:val="ListBullet"/>
        <w:spacing w:after="40"/>
      </w:pPr>
      <w:r>
        <w:t>logs/sample_logs.json - local assessment log</w:t>
      </w:r>
    </w:p>
    <w:p>
      <w:pPr>
        <w:pStyle w:val="ListBullet"/>
        <w:spacing w:after="40"/>
      </w:pPr>
      <w:r>
        <w:t>report/attack-evidence.md - attack evidence summary</w:t>
      </w:r>
    </w:p>
    <w:p>
      <w:pPr>
        <w:pStyle w:val="ListBullet"/>
        <w:spacing w:after="40"/>
      </w:pPr>
      <w:r>
        <w:t>report/pipeline-review.md - pipeline review</w:t>
      </w:r>
    </w:p>
    <w:p>
      <w:pPr>
        <w:pStyle w:val="ListBullet"/>
        <w:spacing w:after="40"/>
      </w:pPr>
      <w:r>
        <w:t>ai-usage/AI_USAGE_LOG.md - AI assistance record</w:t>
      </w:r>
    </w:p>
    <w:p>
      <w:pPr>
        <w:pStyle w:val="ListBullet"/>
        <w:spacing w:after="40"/>
      </w:pPr>
      <w:r>
        <w:t>video/ - execution recordings and screenshots</w:t>
      </w:r>
    </w:p>
    <w:p>
      <w:pPr>
        <w:pStyle w:val="Heading1"/>
      </w:pPr>
      <w:r>
        <w:t>14. Limitations</w:t>
      </w:r>
    </w:p>
    <w:p>
      <w:pPr>
        <w:pStyle w:val="ListBullet"/>
        <w:spacing w:after="40"/>
      </w:pPr>
      <w:r>
        <w:t>MNIST is a small demonstration dataset and model and does not represent the complexity of production ML systems.</w:t>
      </w:r>
    </w:p>
    <w:p>
      <w:pPr>
        <w:pStyle w:val="ListBullet"/>
        <w:spacing w:after="40"/>
      </w:pPr>
      <w:r>
        <w:t>The demonstrated adversarial examples prove attack feasibility for tested cases but do not establish robustness across all inputs, epsilons, architectures, or attack algorithms.</w:t>
      </w:r>
    </w:p>
    <w:p>
      <w:pPr>
        <w:pStyle w:val="ListBullet"/>
        <w:spacing w:after="40"/>
      </w:pPr>
      <w:r>
        <w:t>The extraction experiment measures behavioral fidelity within the tested query/evaluation design and does not quantify complete intellectual-property recovery.</w:t>
      </w:r>
    </w:p>
    <w:p>
      <w:pPr>
        <w:pStyle w:val="ListBullet"/>
        <w:spacing w:after="40"/>
      </w:pPr>
      <w:r>
        <w:t>The local JSON logs are assessment evidence, not a centralized production security-monitoring solution.</w:t>
      </w:r>
    </w:p>
    <w:p>
      <w:pPr>
        <w:pStyle w:val="ListBullet"/>
        <w:spacing w:after="40"/>
      </w:pPr>
      <w:r>
        <w:t>The implemented mitigations reduce specific tested risks but do not eliminate all adversarial-ML, API, model-supply-chain, or container risks.</w:t>
      </w:r>
    </w:p>
    <w:p>
      <w:pPr>
        <w:pStyle w:val="Heading1"/>
      </w:pPr>
      <w:r>
        <w:t>15. Conclusion</w:t>
      </w:r>
    </w:p>
    <w:p>
      <w:r>
        <w:t>The assessment demonstrated a reproducible red team workflow against a local ML inference service: establish a baseline, identify the model-input attack surface, craft adversarial inputs, verify impact through the live API, implement mitigations, and re-test the resulting controls.</w:t>
      </w:r>
    </w:p>
    <w:p>
      <w:r>
        <w:t>The primary technical result was that carefully crafted input perturbations could change model predictions without changing model weights. The project also demonstrated practical application hardening through input validation, SHA-256 model integrity verification, safer loading, and restricted Docker runtime privileges.</w:t>
      </w:r>
    </w:p>
    <w:p>
      <w:pPr>
        <w:pStyle w:val="Heading1"/>
      </w:pPr>
      <w:r>
        <w:t>Appendix A. Key Reproduction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6"/>
              </w:rPr>
              <w:t>Purpose</w:t>
            </w:r>
          </w:p>
        </w:tc>
        <w:tc>
          <w:tcPr>
            <w:tcW w:type="dxa" w:w="5040"/>
            <w:vAlign w:val="center"/>
            <w:shd w:fill="1F4E79"/>
          </w:tcPr>
          <w:p>
            <w:pPr>
              <w:spacing w:after="0"/>
            </w:pPr>
            <w:r/>
            <w:r>
              <w:rPr>
                <w:rFonts w:ascii="Aptos" w:hAnsi="Aptos"/>
                <w:b/>
                <w:color w:val="FFFFFF"/>
                <w:sz w:val="16"/>
              </w:rPr>
              <w:t>Command</w:t>
            </w:r>
          </w:p>
        </w:tc>
      </w:tr>
      <w:tr>
        <w:tc>
          <w:tcPr>
            <w:tcW w:type="dxa" w:w="5040"/>
            <w:vAlign w:val="center"/>
          </w:tcPr>
          <w:p>
            <w:pPr>
              <w:spacing w:after="0"/>
            </w:pPr>
            <w:r/>
            <w:r>
              <w:rPr>
                <w:rFonts w:ascii="Aptos" w:hAnsi="Aptos"/>
                <w:b w:val="0"/>
                <w:sz w:val="16"/>
              </w:rPr>
              <w:t>Baseline</w:t>
            </w:r>
          </w:p>
        </w:tc>
        <w:tc>
          <w:tcPr>
            <w:tcW w:type="dxa" w:w="5040"/>
            <w:vAlign w:val="center"/>
          </w:tcPr>
          <w:p>
            <w:pPr>
              <w:spacing w:after="0"/>
            </w:pPr>
            <w:r/>
            <w:r>
              <w:rPr>
                <w:rFonts w:ascii="Aptos" w:hAnsi="Aptos"/>
                <w:b w:val="0"/>
                <w:sz w:val="16"/>
              </w:rPr>
              <w:t>python .\model\evaluate.py</w:t>
            </w:r>
          </w:p>
        </w:tc>
      </w:tr>
      <w:tr>
        <w:tc>
          <w:tcPr>
            <w:tcW w:type="dxa" w:w="5040"/>
            <w:vAlign w:val="center"/>
          </w:tcPr>
          <w:p>
            <w:pPr>
              <w:spacing w:after="0"/>
            </w:pPr>
            <w:r/>
            <w:r>
              <w:rPr>
                <w:rFonts w:ascii="Aptos" w:hAnsi="Aptos"/>
                <w:b w:val="0"/>
                <w:sz w:val="16"/>
              </w:rPr>
              <w:t>Start API</w:t>
            </w:r>
          </w:p>
        </w:tc>
        <w:tc>
          <w:tcPr>
            <w:tcW w:type="dxa" w:w="5040"/>
            <w:vAlign w:val="center"/>
          </w:tcPr>
          <w:p>
            <w:pPr>
              <w:spacing w:after="0"/>
            </w:pPr>
            <w:r/>
            <w:r>
              <w:rPr>
                <w:rFonts w:ascii="Aptos" w:hAnsi="Aptos"/>
                <w:b w:val="0"/>
                <w:sz w:val="16"/>
              </w:rPr>
              <w:t>python -m uvicorn api.app:app --host 127.0.0.1 --port 8000</w:t>
            </w:r>
          </w:p>
        </w:tc>
      </w:tr>
      <w:tr>
        <w:tc>
          <w:tcPr>
            <w:tcW w:type="dxa" w:w="5040"/>
            <w:vAlign w:val="center"/>
          </w:tcPr>
          <w:p>
            <w:pPr>
              <w:spacing w:after="0"/>
            </w:pPr>
            <w:r/>
            <w:r>
              <w:rPr>
                <w:rFonts w:ascii="Aptos" w:hAnsi="Aptos"/>
                <w:b w:val="0"/>
                <w:sz w:val="16"/>
              </w:rPr>
              <w:t>FGSM #1</w:t>
            </w:r>
          </w:p>
        </w:tc>
        <w:tc>
          <w:tcPr>
            <w:tcW w:type="dxa" w:w="5040"/>
            <w:vAlign w:val="center"/>
          </w:tcPr>
          <w:p>
            <w:pPr>
              <w:spacing w:after="0"/>
            </w:pPr>
            <w:r/>
            <w:r>
              <w:rPr>
                <w:rFonts w:ascii="Aptos" w:hAnsi="Aptos"/>
                <w:b w:val="0"/>
                <w:sz w:val="16"/>
              </w:rPr>
              <w:t>python .\attacks\attack_01_fgsm.py</w:t>
            </w:r>
          </w:p>
        </w:tc>
      </w:tr>
      <w:tr>
        <w:tc>
          <w:tcPr>
            <w:tcW w:type="dxa" w:w="5040"/>
            <w:vAlign w:val="center"/>
          </w:tcPr>
          <w:p>
            <w:pPr>
              <w:spacing w:after="0"/>
            </w:pPr>
            <w:r/>
            <w:r>
              <w:rPr>
                <w:rFonts w:ascii="Aptos" w:hAnsi="Aptos"/>
                <w:b w:val="0"/>
                <w:sz w:val="16"/>
              </w:rPr>
              <w:t>FGSM #2</w:t>
            </w:r>
          </w:p>
        </w:tc>
        <w:tc>
          <w:tcPr>
            <w:tcW w:type="dxa" w:w="5040"/>
            <w:vAlign w:val="center"/>
          </w:tcPr>
          <w:p>
            <w:pPr>
              <w:spacing w:after="0"/>
            </w:pPr>
            <w:r/>
            <w:r>
              <w:rPr>
                <w:rFonts w:ascii="Aptos" w:hAnsi="Aptos"/>
                <w:b w:val="0"/>
                <w:sz w:val="16"/>
              </w:rPr>
              <w:t>python .\attacks\attack_02_fgsm.py</w:t>
            </w:r>
          </w:p>
        </w:tc>
      </w:tr>
      <w:tr>
        <w:tc>
          <w:tcPr>
            <w:tcW w:type="dxa" w:w="5040"/>
            <w:vAlign w:val="center"/>
          </w:tcPr>
          <w:p>
            <w:pPr>
              <w:spacing w:after="0"/>
            </w:pPr>
            <w:r/>
            <w:r>
              <w:rPr>
                <w:rFonts w:ascii="Aptos" w:hAnsi="Aptos"/>
                <w:b w:val="0"/>
                <w:sz w:val="16"/>
              </w:rPr>
              <w:t>FGSM from scratch</w:t>
            </w:r>
          </w:p>
        </w:tc>
        <w:tc>
          <w:tcPr>
            <w:tcW w:type="dxa" w:w="5040"/>
            <w:vAlign w:val="center"/>
          </w:tcPr>
          <w:p>
            <w:pPr>
              <w:spacing w:after="0"/>
            </w:pPr>
            <w:r/>
            <w:r>
              <w:rPr>
                <w:rFonts w:ascii="Aptos" w:hAnsi="Aptos"/>
                <w:b w:val="0"/>
                <w:sz w:val="16"/>
              </w:rPr>
              <w:t>python .\attacks\fgsm_from_scratch.py</w:t>
            </w:r>
          </w:p>
        </w:tc>
      </w:tr>
      <w:tr>
        <w:tc>
          <w:tcPr>
            <w:tcW w:type="dxa" w:w="5040"/>
            <w:vAlign w:val="center"/>
          </w:tcPr>
          <w:p>
            <w:pPr>
              <w:spacing w:after="0"/>
            </w:pPr>
            <w:r/>
            <w:r>
              <w:rPr>
                <w:rFonts w:ascii="Aptos" w:hAnsi="Aptos"/>
                <w:b w:val="0"/>
                <w:sz w:val="16"/>
              </w:rPr>
              <w:t>PGD from scratch</w:t>
            </w:r>
          </w:p>
        </w:tc>
        <w:tc>
          <w:tcPr>
            <w:tcW w:type="dxa" w:w="5040"/>
            <w:vAlign w:val="center"/>
          </w:tcPr>
          <w:p>
            <w:pPr>
              <w:spacing w:after="0"/>
            </w:pPr>
            <w:r/>
            <w:r>
              <w:rPr>
                <w:rFonts w:ascii="Aptos" w:hAnsi="Aptos"/>
                <w:b w:val="0"/>
                <w:sz w:val="16"/>
              </w:rPr>
              <w:t>python .\attacks\pgd_from_scratch.py</w:t>
            </w:r>
          </w:p>
        </w:tc>
      </w:tr>
      <w:tr>
        <w:tc>
          <w:tcPr>
            <w:tcW w:type="dxa" w:w="5040"/>
            <w:vAlign w:val="center"/>
          </w:tcPr>
          <w:p>
            <w:pPr>
              <w:spacing w:after="0"/>
            </w:pPr>
            <w:r/>
            <w:r>
              <w:rPr>
                <w:rFonts w:ascii="Aptos" w:hAnsi="Aptos"/>
                <w:b w:val="0"/>
                <w:sz w:val="16"/>
              </w:rPr>
              <w:t>FGSM API verification</w:t>
            </w:r>
          </w:p>
        </w:tc>
        <w:tc>
          <w:tcPr>
            <w:tcW w:type="dxa" w:w="5040"/>
            <w:vAlign w:val="center"/>
          </w:tcPr>
          <w:p>
            <w:pPr>
              <w:spacing w:after="0"/>
            </w:pPr>
            <w:r/>
            <w:r>
              <w:rPr>
                <w:rFonts w:ascii="Aptos" w:hAnsi="Aptos"/>
                <w:b w:val="0"/>
                <w:sz w:val="16"/>
              </w:rPr>
              <w:t>curl.exe -X POST "http://127.0.0.1:8000/predict" -F "file=@.\samples\adversarial\fgsm_adversarial.png"</w:t>
            </w:r>
          </w:p>
        </w:tc>
      </w:tr>
      <w:tr>
        <w:tc>
          <w:tcPr>
            <w:tcW w:type="dxa" w:w="5040"/>
            <w:vAlign w:val="center"/>
          </w:tcPr>
          <w:p>
            <w:pPr>
              <w:spacing w:after="0"/>
            </w:pPr>
            <w:r/>
            <w:r>
              <w:rPr>
                <w:rFonts w:ascii="Aptos" w:hAnsi="Aptos"/>
                <w:b w:val="0"/>
                <w:sz w:val="16"/>
              </w:rPr>
              <w:t>PGD API verification</w:t>
            </w:r>
          </w:p>
        </w:tc>
        <w:tc>
          <w:tcPr>
            <w:tcW w:type="dxa" w:w="5040"/>
            <w:vAlign w:val="center"/>
          </w:tcPr>
          <w:p>
            <w:pPr>
              <w:spacing w:after="0"/>
            </w:pPr>
            <w:r/>
            <w:r>
              <w:rPr>
                <w:rFonts w:ascii="Aptos" w:hAnsi="Aptos"/>
                <w:b w:val="0"/>
                <w:sz w:val="16"/>
              </w:rPr>
              <w:t>curl.exe -X POST "http://127.0.0.1:8000/predict" -F "file=@.\samples\adversarial\pgd_from_scratch_7_to_3.png"</w:t>
            </w:r>
          </w:p>
        </w:tc>
      </w:tr>
      <w:tr>
        <w:tc>
          <w:tcPr>
            <w:tcW w:type="dxa" w:w="5040"/>
            <w:vAlign w:val="center"/>
          </w:tcPr>
          <w:p>
            <w:pPr>
              <w:spacing w:after="0"/>
            </w:pPr>
            <w:r/>
            <w:r>
              <w:rPr>
                <w:rFonts w:ascii="Aptos" w:hAnsi="Aptos"/>
                <w:b w:val="0"/>
                <w:sz w:val="16"/>
              </w:rPr>
              <w:t>Docker inspect</w:t>
            </w:r>
          </w:p>
        </w:tc>
        <w:tc>
          <w:tcPr>
            <w:tcW w:type="dxa" w:w="5040"/>
            <w:vAlign w:val="center"/>
          </w:tcPr>
          <w:p>
            <w:pPr>
              <w:spacing w:after="0"/>
            </w:pPr>
            <w:r/>
            <w:r>
              <w:rPr>
                <w:rFonts w:ascii="Aptos" w:hAnsi="Aptos"/>
                <w:b w:val="0"/>
                <w:sz w:val="16"/>
              </w:rPr>
              <w:t>docker inspect ai-security-final</w:t>
            </w:r>
          </w:p>
        </w:tc>
      </w:tr>
      <w:tr>
        <w:tc>
          <w:tcPr>
            <w:tcW w:type="dxa" w:w="5040"/>
            <w:vAlign w:val="center"/>
          </w:tcPr>
          <w:p>
            <w:pPr>
              <w:spacing w:after="0"/>
            </w:pPr>
            <w:r/>
            <w:r>
              <w:rPr>
                <w:rFonts w:ascii="Aptos" w:hAnsi="Aptos"/>
                <w:b w:val="0"/>
                <w:sz w:val="16"/>
              </w:rPr>
              <w:t>Read-only filesystem test</w:t>
            </w:r>
          </w:p>
        </w:tc>
        <w:tc>
          <w:tcPr>
            <w:tcW w:type="dxa" w:w="5040"/>
            <w:vAlign w:val="center"/>
          </w:tcPr>
          <w:p>
            <w:pPr>
              <w:spacing w:after="0"/>
            </w:pPr>
            <w:r/>
            <w:r>
              <w:rPr>
                <w:rFonts w:ascii="Aptos" w:hAnsi="Aptos"/>
                <w:b w:val="0"/>
                <w:sz w:val="16"/>
              </w:rPr>
              <w:t>docker exec ai-security-final sh -c "touch /docker_write_test"</w:t>
            </w:r>
          </w:p>
        </w:tc>
      </w:tr>
    </w:tbl>
    <w:p>
      <w:pPr>
        <w:pStyle w:val="Heading1"/>
      </w:pPr>
      <w:r>
        <w:t>Appendix B. Verified Results Summary</w:t>
      </w:r>
    </w:p>
    <w:p>
      <w:pPr>
        <w:pStyle w:val="ListBullet"/>
        <w:spacing w:after="40"/>
      </w:pPr>
      <w:r>
        <w:t>Baseline: 9,703 / 10,000 correct, 97.03% accuracy.</w:t>
      </w:r>
    </w:p>
    <w:p>
      <w:pPr>
        <w:pStyle w:val="ListBullet"/>
        <w:spacing w:after="40"/>
      </w:pPr>
      <w:r>
        <w:t>FGSM #1: 7 -&gt; 3.</w:t>
      </w:r>
    </w:p>
    <w:p>
      <w:pPr>
        <w:pStyle w:val="ListBullet"/>
        <w:spacing w:after="40"/>
      </w:pPr>
      <w:r>
        <w:t>FGSM #2: 2 -&gt; 1.</w:t>
      </w:r>
    </w:p>
    <w:p>
      <w:pPr>
        <w:pStyle w:val="ListBullet"/>
        <w:spacing w:after="40"/>
      </w:pPr>
      <w:r>
        <w:t>PGD: 7 -&gt; 3.</w:t>
      </w:r>
    </w:p>
    <w:p>
      <w:pPr>
        <w:pStyle w:val="ListBullet"/>
        <w:spacing w:after="40"/>
      </w:pPr>
      <w:r>
        <w:t>Invalid file: HTTP 400.</w:t>
      </w:r>
    </w:p>
    <w:p>
      <w:pPr>
        <w:pStyle w:val="ListBullet"/>
        <w:spacing w:after="40"/>
      </w:pPr>
      <w:r>
        <w:t>Large file: HTTP 413.</w:t>
      </w:r>
    </w:p>
    <w:p>
      <w:pPr>
        <w:pStyle w:val="ListBullet"/>
        <w:spacing w:after="40"/>
      </w:pPr>
      <w:r>
        <w:t>Large dimensions: HTTP 413.</w:t>
      </w:r>
    </w:p>
    <w:p>
      <w:pPr>
        <w:pStyle w:val="ListBullet"/>
        <w:spacing w:after="40"/>
      </w:pPr>
      <w:r>
        <w:t>Tampered model: integrity check rejected startup.</w:t>
      </w:r>
    </w:p>
    <w:p>
      <w:pPr>
        <w:pStyle w:val="ListBullet"/>
        <w:spacing w:after="40"/>
      </w:pPr>
      <w:r>
        <w:t>Docker hardening: appuser, read-only root, dropped capabilities, and no-new-privileges enabled.</w:t>
      </w:r>
    </w:p>
    <w:p>
      <w:pPr>
        <w:pStyle w:val="ListBullet"/>
        <w:spacing w:after="40"/>
      </w:pPr>
      <w:r>
        <w:t>Model extraction: 83% target-match fidelity on 100 unseen evaluations using 500 training queries.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Attack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AI Security Red Team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Security Red Team Assessment - Attack Report</dc:title>
  <dc:subject>Local MNIST API red team assessment</dc:subject>
  <dc:creator>AI Security Red Team Assessment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