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court established the precedent in Smith v Jones</w:t>
      </w:r>
      <w:r>
        <w:rPr>
          <w:rStyle w:val="FootnoteReference"/>
        </w:rPr>
        <w:footnoteReference w:id="2"/>
      </w:r>
      <w:r>
        <w:t xml:space="preserve"> which became binding authority.</w:t>
      </w:r>
    </w:p>
    <w:p>
      <w:r>
        <w:t xml:space="preserve">This was later affirmed by the appellate court</w:t>
      </w:r>
      <w:r>
        <w:rPr>
          <w:rStyle w:val="FootnoteReference"/>
        </w:rPr>
        <w:footnoteReference w:id="3"/>
      </w:r>
      <w:r>
        <w:t xml:space="preserve"> and discussed extensively in the literature</w:t>
      </w:r>
      <w:r>
        <w:rPr>
          <w:rStyle w:val="EndnoteReference"/>
        </w:rPr>
        <w:endnoteReference w:id="2"/>
      </w:r>
      <w:r>
        <w:t xml:space="preserve"> by subsequent commentators.</w:t>
      </w:r>
    </w:p>
    <w:p>
      <w:r>
        <w:t>The doctrine remains controversial in several jurisdictions.</w:t>
      </w:r>
    </w:p>
  </w:body>
</w:document>
</file>

<file path=word/endnotes.xml><?xml version="1.0" encoding="utf-8"?>
<w:endnotes xmlns:w="http://schemas.openxmlformats.org/wordprocessingml/2006/main">
  <w:endnote w:type="separator" w:id="0">
    <w:p>
      <w:r>
        <w:separator/>
      </w:r>
    </w:p>
  </w:endnote>
  <w:endnote w:type="continuationSeparator" w:id="1">
    <w:p>
      <w:r>
        <w:continuationSeparator/>
      </w:r>
    </w:p>
  </w:endnote>
  <w:endnote w:id="2">
    <w:p>
      <w:r>
        <w:t xml:space="preserve">See also Chen v Republic [2019] SGCA 8, at [15]-[20].</w:t>
      </w:r>
    </w:p>
  </w:endnote>
</w:endnotes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t xml:space="preserve">Smith v Jones [2018] UKSC 15, para 42.</w:t>
      </w:r>
    </w:p>
  </w:footnote>
  <w:footnote w:id="3">
    <w:p>
      <w:r>
        <w:t xml:space="preserve">Davies, M. (2020). Administrative Law. Hart Publishing, p.112.</w:t>
      </w:r>
    </w:p>
  </w:footnote>
</w:footnot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footnotes"
    Target="footnotes.xml"/>
  <Relationship Id="rId2"
    Type="http://schemas.openxmlformats.org/officeDocument/2006/relationships/endnotes"
    Target="endnotes.xml"/>
</Relationships>
</file>