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Psychodynamic Relational Patterns &amp; Defenses Screen (Original)</w:t>
      </w:r>
    </w:p>
    <w:p>
      <w:r>
        <w:t>Last 1–3 months. Higher scores on items 1–8 indicate more difficulty; items 9–11 indicate capacity; item 12 indicates transference awareness.</w:t>
      </w:r>
    </w:p>
    <w:p>
      <w:r>
        <w:t>Scale: 0–4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notice repeated patterns in my relationships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fear abandonment or rejection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struggle to express anger directly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feel shame or self-criticism after conflicts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pull away emotionally when closeness increases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feel intense need for approval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often intellectualize instead of feeling emotions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avoid difficult feelings through distraction/overwork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can identify what I feel in the moment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can tolerate mixed feelings without acting impulsively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notice how past experiences shape current reactions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therapy, I react to the therapist as if they were someone else in my life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