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 — Filled Example: TR_P02_PanicSensitive</w:t>
      </w:r>
    </w:p>
    <w:p>
      <w:r>
        <w:t>Fictional training example. Screening only; not a diagnosis.</w:t>
      </w:r>
    </w:p>
    <w:p>
      <w:r>
        <w:t>Context: Body sensations trigger panic; needs interoception titration.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