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Trauma-Informed Stabilization &amp; Window of Tolerance Screen (Original) — Filled Example: TR_P03_ResourcesLow</w:t>
      </w:r>
    </w:p>
    <w:p>
      <w:r>
        <w:t>Fictional training example. Screening only; not a diagnosis.</w:t>
      </w:r>
    </w:p>
    <w:p>
      <w:r>
        <w:t>Context: High activation, low supports; stabilize routines and support map.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experience sudden overwhelm (hyperarousal)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experience numbness/shutdown (hypoarousal)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have flashbacks or intrusive memories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avoid reminders of past events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feel detached from myself or reality (dissociation)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have panic-like body sensations that scare me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can identify early warning signs of escalation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have at least two grounding strategies that work for me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safe enough to do brief mindfulness with eyes open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have stable sleep and routines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have supportive people/resources I can contact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currently feel at risk of harming myself (0=no,4=yes)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 currently feel at risk of harming others (0=no,4=yes)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I want trauma-processing now (vs stabilization first)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