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Trauma-Informed Stabilization &amp; Window of Tolerance Screen (Original) — Filled Example: TR_P05_RiskNow</w:t>
      </w:r>
    </w:p>
    <w:p>
      <w:r>
        <w:t>Fictional training example. Screening only; not a diagnosis.</w:t>
      </w:r>
    </w:p>
    <w:p>
      <w:r>
        <w:t>Context: Current self-harm risk endorsed; urgent safety escalation.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experience sudden overwhelm (hyperarousal)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experience numbness/shutdown (hypoarousal)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have flashbacks or intrusive memories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avoid reminders of past events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feel detached from myself or reality (dissociation)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have panic-like body sensations that scare me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can identify early warning signs of escalation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have at least two grounding strategies that work for me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safe enough to do brief mindfulness with eyes open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have stable sleep and routines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have supportive people/resources I can contact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currently feel at risk of harming myself (0=no,4=yes)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 currently feel at risk of harming others (0=no,4=yes)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 want trauma-processing now (vs stabilization first)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