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742950" cy="7429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103_bad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7429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 </w:t>
      </w:r>
      <w:r>
        <w:drawing>
          <wp:inline distT="0" distB="0" distL="0" distR="0">
            <wp:extent cx="742950" cy="74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60"/>
        <w:jc w:val="center"/>
      </w:pPr>
      <w:r>
        <w:rPr>
          <w:rFonts w:ascii="Calibri" w:cs="Calibri" w:eastAsia="Calibri" w:hAnsi="Calibri"/>
          <w:b/>
          <w:bCs/>
          <w:color w:val="BF4E14"/>
          <w:sz w:val="40"/>
          <w:szCs w:val="40"/>
        </w:rPr>
        <w:t xml:space="preserve">Yusuf Sha Hussain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44444"/>
          <w:sz w:val="23"/>
          <w:szCs w:val="23"/>
        </w:rPr>
        <w:t>Senior Technical &amp; Sales Recruiter | Enterprise Software, Cloud, AI &amp; Go-to-Market Talent Partner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Brantford, ON N3T 0K8   |   +1 (647) 916-5487   |   ysh.ruzu@gmail.com</w:t>
      </w:r>
    </w:p>
    <w:p>
      <w:pPr>
        <w:spacing w:after="100"/>
        <w:jc w:val="center"/>
      </w:pPr>
      <w:hyperlink w:history="1" r:id="rIdepipifociainfawvs6lmk">
        <w:r>
          <w:rPr>
            <w:rFonts w:ascii="Calibri" w:cs="Calibri" w:eastAsia="Calibri" w:hAnsi="Calibri"/>
            <w:color w:val="ED7D31"/>
            <w:sz w:val="21"/>
            <w:szCs w:val="21"/>
            <w:u w:val="single"/>
          </w:rPr>
          <w:t xml:space="preserve">linkedin.com/in/yusuf-sha</w:t>
        </w:r>
      </w:hyperlink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Permanent Resident of Canada</w:t>
      </w:r>
    </w:p>
    <w:p>
      <w:pPr>
        <w:pBdr>
          <w:bottom w:val="single" w:color="BFBFBF" w:sz="6" w:space="1"/>
        </w:pBdr>
        <w:spacing w:after="200"/>
      </w:pPr>
      <w:r>
        <w:rPr>
          <w:sz w:val="2"/>
          <w:szCs w:val="2"/>
        </w:rPr>
        <w:t xml:space="preserve"/>
      </w:r>
    </w:p>
    <w:p>
      <w:pPr>
        <w:keepNext/>
        <w:pBdr>
          <w:bottom w:val="single" w:color="1F3864" w:sz="6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ED7D31"/>
          <w:sz w:val="25"/>
          <w:szCs w:val="25"/>
        </w:rPr>
        <w:t xml:space="preserve">EXECUTIVE PROFILE</w:t>
      </w:r>
    </w:p>
    <w:p>
      <w:pPr>
        <w:spacing w:after="100" w:line="264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Senior Talent Acquisition and Technical Recruitment professional with 13+ years of experience spanning business operations, people leadership, and technical talent acquisition — including 5+ years of Canadian full-cycle recruitment and 8+ years in business operations. Proven track record managing 25+ concurrent requisitions, building strategic talent pipelines, and improving recruitment performance for public- and private-sector clients.</w:t>
      </w:r>
    </w:p>
    <w:p>
      <w:pPr>
        <w:spacing w:after="100" w:line="264"/>
      </w:pPr>
      <w:r>
        <w:rPr>
          <w:rFonts w:ascii="Calibri" w:cs="Calibri" w:eastAsia="Calibri" w:hAnsi="Calibri"/>
          <w:color w:val="000000"/>
          <w:sz w:val="21"/>
          <w:szCs w:val="21"/>
        </w:rPr>
        <w:t>Most recently led technical recruitment and client delivery across Government of Ontario, City of Toronto, Metrolinx, CIBC, HCL Technologies, and RBC, hiring for Software Engineering, Cloud, DevOps, Cybersecurity, Data &amp; Analytics, ERP, Digital Transformation, and emerging AI/ML and Generative AI roles. Also experienced in B2B SaaS sales and go-to-market hiring — Account Executives, SDRs/BDRs, and Account Managers — and in senior customer-facing technical roles such as Solution Architects, Technical Consultants, and practice consultants, with hands-on ownership of offer letters, salary negotiation, new-hire onboarding and offboarding, and maintaining HR records and employee personnel files.</w:t>
      </w:r>
    </w:p>
    <w:p>
      <w:pPr>
        <w:spacing w:after="120" w:line="264"/>
      </w:pPr>
      <w:r>
        <w:rPr>
          <w:rFonts w:ascii="Calibri" w:cs="Calibri" w:eastAsia="Calibri" w:hAnsi="Calibri"/>
          <w:color w:val="000000"/>
          <w:sz w:val="21"/>
          <w:szCs w:val="21"/>
        </w:rPr>
        <w:t>Distinctive combination of technical recruiting expertise and hands-on business leadership — employee coaching, performance management, operational management, and process improvement — providing a well-rounded perspective across people, business, and technology. 8+ years in business development brings a seller's understanding of targets, pipeline, and customer acquisition to calibrating profiles and assessing sales talent.</w:t>
      </w:r>
    </w:p>
    <w:p>
      <w:pPr>
        <w:keepNext/>
        <w:pBdr>
          <w:bottom w:val="single" w:color="1F3864" w:sz="6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ED7D31"/>
          <w:sz w:val="25"/>
          <w:szCs w:val="25"/>
        </w:rPr>
        <w:t xml:space="preserve">TECHNICAL &amp; SALES HIRING EXPERTISE</w:t>
      </w:r>
    </w:p>
    <w:p>
      <w:pPr>
        <w:spacing w:after="120" w:line="264"/>
      </w:pPr>
      <w:r>
        <w:rPr>
          <w:rFonts w:ascii="Calibri" w:cs="Calibri" w:eastAsia="Calibri" w:hAnsi="Calibri"/>
          <w:color w:val="000000"/>
          <w:sz w:val="21"/>
          <w:szCs w:val="21"/>
        </w:rPr>
        <w:t>Software Engineering | Java | .NET | Python | Cloud (AWS, Azure, GCP) | DevOps | Site Reliability Engineering (SRE) | Cybersecurity | Data Engineering | Data Science | AI/ML | Generative AI | NLP | ERP | SAP | Salesforce | Infrastructure | Networking | Business Analysis | Product Management | Project Management | Quality Assurance | Mobile Development | Technical Support | Sales &amp; GTM: Account Executives, SDR/BDR, Account Managers | Pre-Sales: Solution &amp; Enterprise Architects, Technical Consultants | Client-Facing Practice Consultants</w:t>
      </w:r>
    </w:p>
    <w:p>
      <w:pPr>
        <w:keepNext/>
        <w:pBdr>
          <w:bottom w:val="single" w:color="1F3864" w:sz="6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ED7D31"/>
          <w:sz w:val="25"/>
          <w:szCs w:val="25"/>
        </w:rPr>
        <w:t xml:space="preserve">RECRUITMENT TECHNOLOGIES</w:t>
      </w:r>
    </w:p>
    <w:p>
      <w:pPr>
        <w:spacing w:after="120" w:line="264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LinkedIn Recruiter | Workday | Bullhorn | GoodTime | Slack | Google Workspace | Microsoft Office Suite | Microsoft Teams | Zoom | Indeed | Monster | Dice | ATS Platforms | Boolean Search | X-Ray Search | Recruitment Analytics | Workable | HireEZ | Loxo | Ashby | Vultus | Zoho</w:t>
      </w:r>
    </w:p>
    <w:p>
      <w:pPr>
        <w:keepNext/>
        <w:pBdr>
          <w:bottom w:val="single" w:color="1F3864" w:sz="6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ED7D31"/>
          <w:sz w:val="25"/>
          <w:szCs w:val="25"/>
        </w:rPr>
        <w:t xml:space="preserve">CORE TALENT ACQUISITION, HR &amp; LEADERSHIP EXPERTISE</w:t>
      </w:r>
    </w:p>
    <w:p>
      <w:pPr>
        <w:spacing w:after="120" w:line="264"/>
      </w:pPr>
      <w:r>
        <w:rPr>
          <w:rFonts w:ascii="Calibri" w:cs="Calibri" w:eastAsia="Calibri" w:hAnsi="Calibri"/>
          <w:color w:val="000000"/>
          <w:sz w:val="21"/>
          <w:szCs w:val="21"/>
        </w:rPr>
        <w:t>Talent Acquisition Strategy | Technical Recruitment | Workforce Planning | Talent Advisory | Full-Cycle Recruitment | Sales &amp; GTM Recruitment | Profile Calibration | Competency-Based Interviewing | Pipeline Management &amp; Forecasting | Talent Mapping &amp; Market Intelligence | Strategic Sourcing | Passive Candidate Engagement | Stakeholder Management | Hiring Manager Partnership | Recruitment Analytics | Compensation Benchmarking | Employer Branding | Diversity &amp; Inclusion Hiring | Vendor Management | Offer Management &amp; Salary Negotiation | Offer Letters &amp; Employment Documentation | New-Hire Onboarding &amp; Offboarding | HR Records &amp; Personnel File Management | Candidate Experience | Team Coaching | Performance Management | Business Operations | Business Development | Process Improvement &amp; Operational Efficiency</w:t>
      </w:r>
    </w:p>
    <w:p>
      <w:pPr>
        <w:keepNext/>
        <w:pBdr>
          <w:bottom w:val="single" w:color="1F3864" w:sz="6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ED7D31"/>
          <w:sz w:val="25"/>
          <w:szCs w:val="25"/>
        </w:rPr>
        <w:t xml:space="preserve">CERTIFICATIONS</w:t>
      </w:r>
    </w:p>
    <w:p>
      <w:pPr>
        <w:keepNext/>
        <w:spacing w:after="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>Microsoft Certified: Azure AI Apps and Agents Developer Associate (AI-103)</w:t>
      </w:r>
    </w:p>
    <w:p>
      <w:pPr>
        <w:keepNext/>
        <w:spacing w:after="100"/>
      </w:pPr>
      <w:r>
        <w:rPr>
          <w:rFonts w:ascii="Calibri" w:cs="Calibri" w:eastAsia="Calibri" w:hAnsi="Calibri"/>
          <w:color w:val="000000"/>
          <w:sz w:val="20"/>
          <w:szCs w:val="20"/>
        </w:rPr>
        <w:t>Issued by Microsoft | Earned October 2026 | Credential ID: 19A9224605ED591A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>Core knowledge areas: Microsoft Foundry, Azure OpenAI, AI Agents, Retrieval-Augmented Generation (RAG), Azure AI Search, Content Understanding, Multimodal &amp; Vision, Responsible AI</w:t>
      </w:r>
    </w:p>
    <w:p>
      <w:pPr>
        <w:spacing w:after="20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Verify: </w:t>
      </w:r>
      <w:hyperlink w:history="1" r:id="rId8">
        <w:r>
          <w:rPr>
            <w:rFonts w:ascii="Calibri" w:cs="Calibri" w:eastAsia="Calibri" w:hAnsi="Calibri"/>
            <w:color w:val="ED7D31"/>
            <w:sz w:val="20"/>
            <w:szCs w:val="20"/>
            <w:u w:val="single"/>
          </w:rPr>
          <w:t xml:space="preserve">View verified credential</w:t>
        </w:r>
      </w:hyperlink>
    </w:p>
    <w:p>
      <w:pPr>
        <w:keepNext/>
        <w:spacing w:after="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Microsoft Certified: Azure AI Fundamentals (AI-901)</w:t>
      </w:r>
    </w:p>
    <w:p>
      <w:pPr>
        <w:keepNext/>
        <w:spacing w:after="10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Issued by Microsoft | Earned July 2026 | Credential ID: 593771C9DA502C12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Core knowledge areas: Azure Cognitive Services, Machine Learning, Computer Vision, Natural Language Processing (NLP), Conversational AI, Generative AI, Responsible AI</w:t>
      </w:r>
    </w:p>
    <w:p>
      <w:pPr>
        <w:spacing w:after="20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Verify: </w:t>
      </w:r>
      <w:hyperlink w:history="1" r:id="rIdpd2qeagh1e2p0bfwwwlov">
        <w:r>
          <w:rPr>
            <w:rFonts w:ascii="Calibri" w:cs="Calibri" w:eastAsia="Calibri" w:hAnsi="Calibri"/>
            <w:color w:val="ED7D31"/>
            <w:sz w:val="20"/>
            <w:szCs w:val="20"/>
            <w:u w:val="single"/>
          </w:rPr>
          <w:t xml:space="preserve">View verified credential</w:t>
        </w:r>
      </w:hyperlink>
    </w:p>
    <w:p>
      <w:pPr>
        <w:keepNext/>
        <w:pBdr>
          <w:bottom w:val="single" w:color="1F3864" w:sz="6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ED7D31"/>
          <w:sz w:val="25"/>
          <w:szCs w:val="25"/>
        </w:rPr>
        <w:t xml:space="preserve">PROFESSIONAL EXPERIENCE</w:t>
      </w:r>
    </w:p>
    <w:p>
      <w:pPr>
        <w:tabs>
          <w:tab w:val="right" w:pos="9026"/>
        </w:tabs>
        <w:spacing w:after="20" w:before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Senior Technical Recruiter / Client Relationship Manager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2024 – 2026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Hafman Consulting Group | Evolution Canada — Toronto, ON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Led full-cycle recruitment for Government of Ontario ministries and enterprise clients, managing a high-volume requisition load across Software Engineering, Cloud, Infrastructure, Cybersecurity, Data Analytics, ERP, Project Management, and Digital Transformation functions.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Public sector: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Owned end-to-end delivery on Government of Ontario, City of Toronto, and Metrolinx mandates, working within structured public-sector hiring processes, defined evaluation criteria, and compliance and documentation requirements.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Private sector: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Delivered full-cycle technical hiring for financial services and IT consulting clients including CIBC, HCL Technologies, and RBC, filling Software Engineering, Cloud, Data, and Infrastructure roles under fast-moving, competitive private-sector hiring cycles.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Pre-sales &amp; customer-facing technical hiring: </w:t>
      </w:r>
      <w:r>
        <w:rPr>
          <w:rFonts w:ascii="Calibri" w:cs="Calibri" w:eastAsia="Calibri" w:hAnsi="Calibri"/>
          <w:color w:val="000000"/>
          <w:sz w:val="21"/>
          <w:szCs w:val="21"/>
        </w:rPr>
        <w:t>Recruited Solution Architects, Technical Consultants, and enterprise advisors for IT consulting and enterprise clients, assessing both technical depth and client-facing skills such as presenting solutions, leading discovery conversations, and supporting the sales cycle.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Pipeline &amp; forecasting: </w:t>
      </w:r>
      <w:r>
        <w:rPr>
          <w:rFonts w:ascii="Calibri" w:cs="Calibri" w:eastAsia="Calibri" w:hAnsi="Calibri"/>
          <w:color w:val="000000"/>
          <w:sz w:val="21"/>
          <w:szCs w:val="21"/>
        </w:rPr>
        <w:t>Led regular pipeline reviews with hiring managers and account teams, calibrating candidate profiles against active openings and sharing market insight on talent availability, compensation trends, and competing offers.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High-volume delivery: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Ran multiple concurrent requisitions across both sectors simultaneously, screening and qualifying candidates at volume while sustaining submission quality, shortlist accuracy, and client service-level expectations.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Partnered closely with HR Managers and business stakeholders to deliver end-to-end talent acquisition strategies covering workforce requirements, candidate selection, and hiring outcomes across technical and business functions.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and maintained proactive talent pipelines across Software Engineering, Cloud, Cybersecurity, ERP, Infrastructure, and Data domains, improving candidate availability for high-priority and repeat-demand requisitions.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Utilized advanced sourcing methodologies including LinkedIn Recruiter, Boolean and X-Ray search, referrals, networking, social media, and direct outreach to engage passive technical talent at scale.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Managed the end-to-end candidate lifecycle including sourcing, screening, interview management, offer negotiation, and reference checks.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Prepared offer letters and employment documentation, and led salary and rate negotiations with candidates to close offers within client budgets.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Coordinated new-hire onboarding and offboarding for placed candidates, maintaining accurate HR records and updating employee personnel files.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Leveraged market intelligence, compensation benchmarking, and talent mapping to advise stakeholders on hiring strategies, talent availability, and competitive positioning within the Canadian technology market.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Tracked and reported recruitment KPIs including time-to-fill, source-of-hire, candidate conversion rates, diversity metrics, and offer acceptance rates.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Acted as a trusted recruitment advisor across both public- and private-sector accounts, providing talent market insights, competitive intelligence, and workforce planning recommendations to client stakeholders.</w:t>
      </w:r>
    </w:p>
    <w:p>
      <w:pPr>
        <w:spacing w:after="160" w:before="4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Clients: Public Sector — Government of Ontario, City of Toronto, Metrolinx | Private Sector — CIBC, HCL Technologies, RBC</w:t>
      </w:r>
    </w:p>
    <w:p>
      <w:pPr>
        <w:tabs>
          <w:tab w:val="right" w:pos="9026"/>
        </w:tabs>
        <w:spacing w:after="20" w:before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Recruiter / Talent Acquisition Partner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2021 – 2024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Hafman Consulting Group — Toronto, ON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Managed a high-volume desk of 25+ concurrent technical and professional requisitions across public-sector and private-sector clients, achieving an average time-to-fill of 3 days while recruiting across Software Engineering, Cloud, DevOps, SRE, Cybersecurity, Data Analytics, Infrastructure, QA, and IT functions.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Sustained high daily screening and submission volume without compromising quality, consistently delivering vetted shortlists against aggressive client deadlines and multiple competing priorities.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Developed and executed multi-channel sourcing and talent acquisition strategies using LinkedIn Recruiter, Boolean search, referrals, networking, social media, and job boards, resulting in a 20% increase in qualified submissions and a 25% increase in referral and direct sourcing contributions.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Partnered with hiring managers and senior stakeholders to prioritize workforce needs, conduct talent mapping and compensation benchmarking, and optimize recruitment strategy, reducing cost-to-hire by 15% while serving as a trusted advisor on hiring decisions.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Leveraged ATS reporting, recruitment analytics, and automation tools to improve pipeline quality and operational efficiency, increasing hard-to-fill role fill rates by 20%, reducing administrative effort by 40%, and boosting recruiter productivity by 30%.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Drove diversity-focused hiring initiatives that increased female representation in technical hiring from 18% to 35% and increased early-career hiring by 25%.</w:t>
      </w:r>
    </w:p>
    <w:p>
      <w:pPr>
        <w:spacing w:after="160" w:before="4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Clients: Government of Ontario, Metrolinx</w:t>
      </w:r>
    </w:p>
    <w:p>
      <w:pPr>
        <w:tabs>
          <w:tab w:val="right" w:pos="9026"/>
        </w:tabs>
        <w:spacing w:after="20" w:before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Business Development &amp; Operations Manager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2010 – 2018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Rabbani Jewellery — Retail Jewellery &amp; Precious Metals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Managed end-to-end business operations, including budgeting, pricing strategy, inventory management, supplier coordination, and day-to-day business performance.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Led and supported a team by setting performance targets, monitoring results, providing coaching, and identifying opportunities to improve employee productivity and sales performance.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Led business development and customer acquisition initiatives through targeted marketing and advertising campaigns, strengthening customer retention and expanding the client base.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and maintained strong relationships with customers, suppliers, employees, and business stakeholders, serving as a primary point of contact for inquiries, escalations, and issue resolution.</w:t>
      </w:r>
    </w:p>
    <w:p>
      <w:pPr>
        <w:pStyle w:val="ListParagraph"/>
        <w:numPr>
          <w:ilvl w:val="0"/>
          <w:numId w:val="2"/>
        </w:numPr>
        <w:spacing w:after="220" w:line="252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Used business performance, sales, and operational information to support decision-making, improve processes, and contribute to profitability and business growth.</w:t>
      </w:r>
    </w:p>
    <w:p>
      <w:pPr>
        <w:keepNext/>
        <w:pBdr>
          <w:bottom w:val="single" w:color="1F3864" w:sz="6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ED7D31"/>
          <w:sz w:val="25"/>
          <w:szCs w:val="25"/>
        </w:rPr>
        <w:t xml:space="preserve">EDUCATION</w:t>
      </w:r>
    </w:p>
    <w:p>
      <w:pPr>
        <w:spacing w:after="9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Post-Graduate Degree | International Finance — Fanshawe College, London, ON | 2020 – 2021</w:t>
      </w:r>
    </w:p>
    <w:p>
      <w:pPr>
        <w:spacing w:after="9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Post-Graduate Degree | International Business — Amity University, Noida, India | 2018 – 2019</w:t>
      </w:r>
    </w:p>
    <w:p>
      <w:pPr>
        <w:spacing w:after="9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Bachelor of Engineering | Electronics &amp; Communication Engineering — Anna University, Chennai, India | 2006 – 2010</w:t>
      </w:r>
    </w:p>
    <w:p>
      <w:pPr>
        <w:keepNext/>
        <w:pBdr>
          <w:bottom w:val="single" w:color="1F3864" w:sz="6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ED7D31"/>
          <w:sz w:val="25"/>
          <w:szCs w:val="25"/>
        </w:rPr>
        <w:t xml:space="preserve">LANGUAGES</w:t>
      </w:r>
    </w:p>
    <w:p>
      <w:pPr>
        <w:spacing w:after="40" w:line="264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English (Native or Bilingual) | Hindi (Native or Bilingual) | Urdu (Native or Bilingual) | Tamil (Native or Bilingual)</w:t>
      </w:r>
    </w:p>
    <w:sectPr>
      <w:pgSz w:w="12240" w:h="15840" w:orient="portrait"/>
      <w:pgMar w:top="500" w:right="700" w:bottom="5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pipifociainfawvs6lmk" Type="http://schemas.openxmlformats.org/officeDocument/2006/relationships/hyperlink" Target="https://linkedin.com/in/yusuf-sha" TargetMode="External"/><Relationship Id="rIdpd2qeagh1e2p0bfwwwlov" Type="http://schemas.openxmlformats.org/officeDocument/2006/relationships/hyperlink" Target="https://learn.microsoft.com/api/credentials/share/en-us/YusufShahHussain-7893/593771C9DA502C12?sharingId=871611A8DCF7E74C" TargetMode="External"/><Relationship Id="rId7" Type="http://schemas.openxmlformats.org/officeDocument/2006/relationships/image" Target="media/4fbae3a7cf1da40e3af5b7b00e6dc76605809bbf.png"/><Relationship Id="rId10" Type="http://schemas.openxmlformats.org/officeDocument/2006/relationships/fontTable" Target="fontTable.xml"/><Relationship Id="rId8" Type="http://schemas.openxmlformats.org/officeDocument/2006/relationships/hyperlink" Target="https://learn.microsoft.com/en-ca/users/yusufshahhussain-7893/credentials/certification/azure-ai-apps-and-agents-developer-associate?tab=credentials-tab" TargetMode="External"/><Relationship Id="rId9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2026-09-03T13:21:35.794Z</dcterms:created>
  <dcterms:modified xsi:type="dcterms:W3CDTF">2026-09-03T13:21:35.822Z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