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个人财务记账系统论文图表补充</w:t>
      </w:r>
    </w:p>
    <w:p>
      <w:pPr>
        <w:ind w:firstLine="420"/>
      </w:pPr>
      <w:r>
        <w:t>以下图表依据毕业设计项目源码、Mongoose 模型及本机 finance_db 数据库结构整理。ER 图属性与数据库设计表字段保持一致；嵌套文档字段采用点路径表示。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 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图4-1 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57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 系统功能模块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图4-2 系统功能模块图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3 总体ER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图4-3 核心业务ER图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4 系统管理ER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图4-4 系统管理ER图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5 用户记账实例ER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图4-5 用户记账实例ER图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80193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homepage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01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图5-1 系统登录界面截图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图5-2 用户端首页总览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图5-3 用户端交易记录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图5-4 用户端统计分析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图5-5 用户端消费分析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图5-6 用户端个性设置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图5-7 用户端消息中心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图5-8 管理端数据概览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图5-9 管理端用户列表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图5-10 管理端风险监控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图5-11 管理端消费统计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图5-12 管理端分类分析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21"/>
        </w:rPr>
        <w:t>表4-1 用户表（users）结构设计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登录用户名，唯一，3-20位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password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加密后的登录密码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email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邮箱，唯一稀疏索引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role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admin/user，默认 user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nickname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用户昵称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avatar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头像地址或 Base64 数据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表4-2 账户表（accounts）结构设计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关联 users._id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账户名称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cash/bank/alipay/wechat/other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icon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账户图标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color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账户颜色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balance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账户余额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备注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表4-3 记账记录表（transactions）结构设计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关联 users._id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income/expense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amount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交易金额，最小值 0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category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分类名称，对应 categories.name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note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交易备注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交易发生时间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isDeleted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实际库中存在的软删除标识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表4-4 分类表（categories）结构设计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分类名称，唯一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iconId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图标标识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color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分类颜色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income/expense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isDefault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是否默认分类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sortOrder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排序值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表4-5 用户配置表（userconfigs）结构设计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关联 users._id，唯一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budget.monthly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月预算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budget.yearly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年预算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budget.alertThreshold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预算预警阈值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theme.background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背景样式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theme.primaryColor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主题主色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theme.glassBlur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玻璃模糊度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theme.pattern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背景图案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theme.presetId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主题预设 ID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theme.customBgUrl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自定义背景地址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notification.budgetAlert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预算通知开关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notification.riskAlert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风险通知开关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notification.systemAlert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系统通知开关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financialHealth.score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财务健康评分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financialHealth.riskLevel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low/medium/high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financialHealth.lastCalculatedAt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最近计算时间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表4-6 通知表（notifications）结构设计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接收用户，关联 users._id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senderId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发送者，关联 users._id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budget_alert/system/risk_warning/transaction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通知标题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通知内容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scope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all/selected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targetUserIds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Array&lt;ObjectId&gt;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目标用户列表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isRead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是否已读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data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Mixed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扩展数据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表4-7 操作日志表（operationlogs）结构设计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userId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操作用户，关联 users._id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action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操作名称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details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操作详情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表4-8 系统设置表（systemsettings）结构设计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systemName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系统名称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currency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默认币种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defaultBudget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Number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默认预算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表4-9 消息模板表（messagetemplates）结构设计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low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低风险提示模板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medium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中风险提示模板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high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高风险提示模板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updatedAt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1"/>
        </w:rPr>
        <w:t>表4-10 验证码表（verificationcodes）结构设计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AF7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82"/>
            <w:shd w:fill="D9EAF7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数据类型</w:t>
            </w:r>
          </w:p>
        </w:tc>
        <w:tc>
          <w:tcPr>
            <w:tcW w:type="dxa" w:w="1882"/>
            <w:shd w:fill="D9EAF7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1882"/>
            <w:shd w:fill="D9EAF7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允许空</w:t>
            </w:r>
          </w:p>
        </w:tc>
        <w:tc>
          <w:tcPr>
            <w:tcW w:type="dxa" w:w="1882"/>
            <w:shd w:fill="D9EAF7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主键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email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邮箱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code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验证码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register/resetPassword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expiresAt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过期时间，TTL 索引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createdAt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882"/>
            <w:tcW w:w="2551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__v</w:t>
            </w:r>
          </w:p>
        </w:tc>
        <w:tc>
          <w:tcPr>
            <w:tcW w:type="dxa" w:w="1882"/>
            <w:tcW w:w="1814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Int32</w:t>
            </w:r>
          </w:p>
        </w:tc>
        <w:tc>
          <w:tcPr>
            <w:tcW w:type="dxa" w:w="1882"/>
            <w:tcW w:w="85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1020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882"/>
            <w:tcW w:w="4536" w:type="dxa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Mongoose 版本字段</w:t>
            </w:r>
          </w:p>
        </w:tc>
      </w:tr>
    </w:tbl>
    <w:p/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