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2713" cy="17764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2713"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ind w:left="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BT4012: Fraud Analytics</w:t>
      </w:r>
    </w:p>
    <w:p w:rsidR="00000000" w:rsidDel="00000000" w:rsidP="00000000" w:rsidRDefault="00000000" w:rsidRPr="00000000" w14:paraId="00000004">
      <w:pPr>
        <w:spacing w:line="360" w:lineRule="auto"/>
        <w:ind w:left="20" w:firstLine="0"/>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70"/>
          <w:szCs w:val="70"/>
          <w:rtl w:val="0"/>
        </w:rPr>
        <w:t xml:space="preserve">Group Project Final Report</w:t>
      </w:r>
    </w:p>
    <w:p w:rsidR="00000000" w:rsidDel="00000000" w:rsidP="00000000" w:rsidRDefault="00000000" w:rsidRPr="00000000" w14:paraId="00000005">
      <w:pPr>
        <w:spacing w:after="120" w:line="360" w:lineRule="auto"/>
        <w:ind w:left="2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Name: Detecting Fraudulent Accounts on Ethereum</w:t>
      </w:r>
    </w:p>
    <w:p w:rsidR="00000000" w:rsidDel="00000000" w:rsidP="00000000" w:rsidRDefault="00000000" w:rsidRPr="00000000" w14:paraId="00000006">
      <w:pPr>
        <w:spacing w:after="260" w:line="360" w:lineRule="auto"/>
        <w:ind w:left="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1</w:t>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07">
            <w:pPr>
              <w:spacing w:line="360" w:lineRule="auto"/>
              <w:ind w:left="2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08">
            <w:pPr>
              <w:spacing w:line="360" w:lineRule="auto"/>
              <w:ind w:left="2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Matriculation Number</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09">
            <w:pPr>
              <w:spacing w:line="360"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Ye Hein Aung</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0A">
            <w:pPr>
              <w:pStyle w:val="Subtitle"/>
              <w:spacing w:after="0" w:line="360" w:lineRule="auto"/>
              <w:rPr>
                <w:rFonts w:ascii="Times New Roman" w:cs="Times New Roman" w:eastAsia="Times New Roman" w:hAnsi="Times New Roman"/>
                <w:color w:val="000000"/>
                <w:sz w:val="26"/>
                <w:szCs w:val="26"/>
              </w:rPr>
            </w:pPr>
            <w:bookmarkStart w:colFirst="0" w:colLast="0" w:name="_5julgtyf43x2" w:id="0"/>
            <w:bookmarkEnd w:id="0"/>
            <w:r w:rsidDel="00000000" w:rsidR="00000000" w:rsidRPr="00000000">
              <w:rPr>
                <w:rtl w:val="0"/>
              </w:rPr>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0B">
            <w:pPr>
              <w:spacing w:line="360"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Chiu Xi, Brandon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0C">
            <w:pPr>
              <w:pStyle w:val="Subtitle"/>
              <w:spacing w:after="0" w:line="360" w:lineRule="auto"/>
              <w:rPr>
                <w:rFonts w:ascii="Times New Roman" w:cs="Times New Roman" w:eastAsia="Times New Roman" w:hAnsi="Times New Roman"/>
                <w:sz w:val="26"/>
                <w:szCs w:val="26"/>
              </w:rPr>
            </w:pPr>
            <w:bookmarkStart w:colFirst="0" w:colLast="0" w:name="_eevi2kheqt31" w:id="1"/>
            <w:bookmarkEnd w:id="1"/>
            <w:r w:rsidDel="00000000" w:rsidR="00000000" w:rsidRPr="00000000">
              <w:rPr>
                <w:rtl w:val="0"/>
              </w:rPr>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0D">
            <w:pPr>
              <w:spacing w:line="360"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 Cheuk Hei</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0E">
            <w:pPr>
              <w:pStyle w:val="Subtitle"/>
              <w:spacing w:after="0" w:line="360" w:lineRule="auto"/>
              <w:rPr>
                <w:rFonts w:ascii="Times New Roman" w:cs="Times New Roman" w:eastAsia="Times New Roman" w:hAnsi="Times New Roman"/>
                <w:sz w:val="26"/>
                <w:szCs w:val="26"/>
              </w:rPr>
            </w:pPr>
            <w:bookmarkStart w:colFirst="0" w:colLast="0" w:name="_z78q8mv4izg1" w:id="2"/>
            <w:bookmarkEnd w:id="2"/>
            <w:r w:rsidDel="00000000" w:rsidR="00000000" w:rsidRPr="00000000">
              <w:rPr>
                <w:rFonts w:ascii="Times New Roman" w:cs="Times New Roman" w:eastAsia="Times New Roman" w:hAnsi="Times New Roman"/>
                <w:color w:val="333333"/>
                <w:sz w:val="24"/>
                <w:szCs w:val="24"/>
                <w:highlight w:val="white"/>
                <w:rtl w:val="0"/>
              </w:rPr>
              <w:t xml:space="preserve">A0217759N</w:t>
            </w:r>
            <w:r w:rsidDel="00000000" w:rsidR="00000000" w:rsidRPr="00000000">
              <w:rPr>
                <w:rtl w:val="0"/>
              </w:rPr>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0F">
            <w:pPr>
              <w:spacing w:line="360"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 Yushan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10">
            <w:pPr>
              <w:pStyle w:val="Subtitle"/>
              <w:spacing w:after="0" w:line="360" w:lineRule="auto"/>
              <w:rPr>
                <w:rFonts w:ascii="Times New Roman" w:cs="Times New Roman" w:eastAsia="Times New Roman" w:hAnsi="Times New Roman"/>
                <w:sz w:val="26"/>
                <w:szCs w:val="26"/>
              </w:rPr>
            </w:pPr>
            <w:bookmarkStart w:colFirst="0" w:colLast="0" w:name="_jh9nut6l95km" w:id="3"/>
            <w:bookmarkEnd w:id="3"/>
            <w:r w:rsidDel="00000000" w:rsidR="00000000" w:rsidRPr="00000000">
              <w:rPr>
                <w:rtl w:val="0"/>
              </w:rPr>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11">
            <w:pPr>
              <w:spacing w:line="360"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Shi Jie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12">
            <w:pPr>
              <w:pStyle w:val="Subtitle"/>
              <w:spacing w:after="0" w:line="360" w:lineRule="auto"/>
              <w:rPr>
                <w:rFonts w:ascii="Times New Roman" w:cs="Times New Roman" w:eastAsia="Times New Roman" w:hAnsi="Times New Roman"/>
                <w:sz w:val="26"/>
                <w:szCs w:val="26"/>
              </w:rPr>
            </w:pPr>
            <w:bookmarkStart w:colFirst="0" w:colLast="0" w:name="_kbiadccmwuq0" w:id="4"/>
            <w:bookmarkEnd w:id="4"/>
            <w:r w:rsidDel="00000000" w:rsidR="00000000" w:rsidRPr="00000000">
              <w:rPr>
                <w:rFonts w:ascii="Times New Roman" w:cs="Times New Roman" w:eastAsia="Times New Roman" w:hAnsi="Times New Roman"/>
                <w:sz w:val="26"/>
                <w:szCs w:val="26"/>
                <w:rtl w:val="0"/>
              </w:rPr>
              <w:t xml:space="preserve">A0223841L</w:t>
            </w:r>
          </w:p>
        </w:tc>
      </w:tr>
    </w:tbl>
    <w:p w:rsidR="00000000" w:rsidDel="00000000" w:rsidP="00000000" w:rsidRDefault="00000000" w:rsidRPr="00000000" w14:paraId="00000013">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5">
      <w:pPr>
        <w:spacing w:line="360" w:lineRule="auto"/>
        <w:rPr>
          <w:b w:val="1"/>
          <w:sz w:val="24"/>
          <w:szCs w:val="24"/>
          <w:u w:val="single"/>
        </w:rPr>
      </w:pPr>
      <w:r w:rsidDel="00000000" w:rsidR="00000000" w:rsidRPr="00000000">
        <w:rPr>
          <w:b w:val="1"/>
          <w:sz w:val="24"/>
          <w:szCs w:val="24"/>
          <w:rtl w:val="0"/>
        </w:rPr>
        <w:t xml:space="preserve">1.Introduction </w:t>
      </w:r>
      <w:r w:rsidDel="00000000" w:rsidR="00000000" w:rsidRPr="00000000">
        <w:rPr>
          <w:b w:val="1"/>
          <w:sz w:val="24"/>
          <w:szCs w:val="24"/>
          <w:u w:val="single"/>
          <w:rtl w:val="0"/>
        </w:rPr>
        <w:t xml:space="preserve"> </w:t>
      </w:r>
    </w:p>
    <w:p w:rsidR="00000000" w:rsidDel="00000000" w:rsidP="00000000" w:rsidRDefault="00000000" w:rsidRPr="00000000" w14:paraId="00000016">
      <w:pPr>
        <w:spacing w:line="360" w:lineRule="auto"/>
        <w:rPr/>
      </w:pPr>
      <w:r w:rsidDel="00000000" w:rsidR="00000000" w:rsidRPr="00000000">
        <w:rPr>
          <w:rtl w:val="0"/>
        </w:rPr>
        <w:t xml:space="preserve">Cryptocurrencies are digital assets powered typically by blockchain technology and have gained immense popularity in recent years due to their decentralized nature, diverse range of use cases, and substantial market values. However, this very decentralization presents significant problems such as fraudulent activities, including theft and money laundering, as transactions can be conducted anonymously. Since 2021, more than </w:t>
      </w:r>
      <w:commentRangeStart w:id="0"/>
      <w:r w:rsidDel="00000000" w:rsidR="00000000" w:rsidRPr="00000000">
        <w:rPr>
          <w:rtl w:val="0"/>
        </w:rPr>
        <w:t xml:space="preserve">46,000 individuals have fallen victim to cryptocurrency scams, resulting in a collective loss of over $1 billion, a striking 60-fold rise compared to 2018</w:t>
      </w:r>
      <w:commentRangeEnd w:id="0"/>
      <w:r w:rsidDel="00000000" w:rsidR="00000000" w:rsidRPr="00000000">
        <w:commentReference w:id="0"/>
      </w:r>
      <w:r w:rsidDel="00000000" w:rsidR="00000000" w:rsidRPr="00000000">
        <w:rPr>
          <w:rtl w:val="0"/>
        </w:rPr>
        <w:t xml:space="preserve">. The Federal Trade Commission (FTC) has identified</w:t>
      </w:r>
      <w:commentRangeStart w:id="1"/>
      <w:r w:rsidDel="00000000" w:rsidR="00000000" w:rsidRPr="00000000">
        <w:rPr>
          <w:rtl w:val="0"/>
        </w:rPr>
        <w:t xml:space="preserve"> Bitcoin, Tether, and Ethereum</w:t>
      </w:r>
      <w:commentRangeEnd w:id="1"/>
      <w:r w:rsidDel="00000000" w:rsidR="00000000" w:rsidRPr="00000000">
        <w:commentReference w:id="1"/>
      </w:r>
      <w:r w:rsidDel="00000000" w:rsidR="00000000" w:rsidRPr="00000000">
        <w:rPr>
          <w:rtl w:val="0"/>
        </w:rPr>
        <w:t xml:space="preserve"> as the top choices for scammers to receive payments. Recent incidents, such as the </w:t>
      </w:r>
      <w:commentRangeStart w:id="2"/>
      <w:r w:rsidDel="00000000" w:rsidR="00000000" w:rsidRPr="00000000">
        <w:rPr>
          <w:rtl w:val="0"/>
        </w:rPr>
        <w:t xml:space="preserve">misappropriation of over $1-2 billion in client funds by FTX</w:t>
      </w:r>
      <w:commentRangeEnd w:id="2"/>
      <w:r w:rsidDel="00000000" w:rsidR="00000000" w:rsidRPr="00000000">
        <w:commentReference w:id="2"/>
      </w:r>
      <w:r w:rsidDel="00000000" w:rsidR="00000000" w:rsidRPr="00000000">
        <w:rPr>
          <w:rtl w:val="0"/>
        </w:rPr>
        <w:t xml:space="preserve">, underscores the critical need for vigilance within the cryptocurrency ecosystem.</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Ethereum is a decentralized blockchain platform that establishes a peer-to-peer network that uses smart contracts to securely execute and allow participants to transact with each other without a trusted central authority. Anonymity is one reason why it is challenging to detect frauds on Ethereum as transactions are conducted pseudonymously by cryptographic addresses, making it difficult to trace the culprit. Transactions are irreversible making it difficult to detect and recover stolen funds. Ethereum’s smart contracts are also susceptible to fraudulent activities such as </w:t>
      </w:r>
      <w:commentRangeStart w:id="3"/>
      <w:r w:rsidDel="00000000" w:rsidR="00000000" w:rsidRPr="00000000">
        <w:rPr>
          <w:rtl w:val="0"/>
        </w:rPr>
        <w:t xml:space="preserve">reentrancy attacks</w:t>
      </w:r>
      <w:commentRangeEnd w:id="3"/>
      <w:r w:rsidDel="00000000" w:rsidR="00000000" w:rsidRPr="00000000">
        <w:commentReference w:id="3"/>
      </w:r>
      <w:r w:rsidDel="00000000" w:rsidR="00000000" w:rsidRPr="00000000">
        <w:rPr>
          <w:rtl w:val="0"/>
        </w:rPr>
        <w:t xml:space="preserve">. In addition to the above factors, the decentralized nature of ethereum makes it vulnerable to frauds and a challenge to detect. </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In response to this growing and challenging threat, we have undertaken a project to enhance security and protect the assets of cryptocurrency users. Leveraging</w:t>
      </w:r>
      <w:commentRangeStart w:id="4"/>
      <w:r w:rsidDel="00000000" w:rsidR="00000000" w:rsidRPr="00000000">
        <w:rPr>
          <w:rtl w:val="0"/>
        </w:rPr>
        <w:t xml:space="preserve"> supervised machine learning techniques, including Logistic Regression, Naive Bayes, SVM, XGboost, LightGBM, MLP, Tabnet, and Stacking</w:t>
      </w:r>
      <w:commentRangeEnd w:id="4"/>
      <w:r w:rsidDel="00000000" w:rsidR="00000000" w:rsidRPr="00000000">
        <w:commentReference w:id="4"/>
      </w:r>
      <w:r w:rsidDel="00000000" w:rsidR="00000000" w:rsidRPr="00000000">
        <w:rPr>
          <w:rtl w:val="0"/>
        </w:rPr>
        <w:t xml:space="preserve">, our aim is to detect and predict fraudulent accounts specifically on the Ethereum blockchain. By doing so, we intend to fortify the fraud detection capabilities of crypto exchanges and wallets, empowering users to navigate the cryptocurrency landscape with confidence to safeguard their financial interests. Our primary goal is to achieve an F1 score of over 90% for our machine learning models, ensuring a high level of accuracy in predicting fraudulent Ethereum transactions and accounts. This project aims to serve as a crucial defense against the ever-evolving landscape of cryptocurrency fraud.</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b w:val="1"/>
          <w:sz w:val="24"/>
          <w:szCs w:val="24"/>
        </w:rPr>
      </w:pPr>
      <w:r w:rsidDel="00000000" w:rsidR="00000000" w:rsidRPr="00000000">
        <w:rPr>
          <w:b w:val="1"/>
          <w:sz w:val="24"/>
          <w:szCs w:val="24"/>
          <w:rtl w:val="0"/>
        </w:rPr>
        <w:t xml:space="preserve">2. Data</w:t>
      </w:r>
    </w:p>
    <w:p w:rsidR="00000000" w:rsidDel="00000000" w:rsidP="00000000" w:rsidRDefault="00000000" w:rsidRPr="00000000" w14:paraId="0000001D">
      <w:pPr>
        <w:spacing w:line="360" w:lineRule="auto"/>
        <w:rPr/>
      </w:pPr>
      <w:r w:rsidDel="00000000" w:rsidR="00000000" w:rsidRPr="00000000">
        <w:rPr>
          <w:rtl w:val="0"/>
        </w:rPr>
        <w:t xml:space="preserve">2.1 Data Sources and Description</w:t>
      </w:r>
    </w:p>
    <w:p w:rsidR="00000000" w:rsidDel="00000000" w:rsidP="00000000" w:rsidRDefault="00000000" w:rsidRPr="00000000" w14:paraId="0000001E">
      <w:pPr>
        <w:spacing w:line="360" w:lineRule="auto"/>
        <w:rPr/>
      </w:pPr>
      <w:r w:rsidDel="00000000" w:rsidR="00000000" w:rsidRPr="00000000">
        <w:rPr>
          <w:rtl w:val="0"/>
        </w:rPr>
        <w:t xml:space="preserve">The dataset used is from Kaggle and the data is extracted from the Etherscan API through REST API’s and Web Scraping. Etherscan is the leading blockchain explorer, search, API and analytics platform for Ethereum aiming to provide equitable access to blockchain data. This dataset contains 9841 observations and a total of 49 variables, including the target variable “FLAG” and a unique identifier “Address” (Figure 1.1). Each row is an observation of a unique Ethereum account where each variable indicates the respective aggregate statistic over all transactions performed by that account (Figure 1.2). However, the dataset is highly unbalanced with only 22.14% of accounts flagged as fraud.</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2.2 Data Preprocessing and Exploratory Data Analysis (EDA)</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b w:val="1"/>
          <w:sz w:val="24"/>
          <w:szCs w:val="24"/>
        </w:rPr>
      </w:pPr>
      <w:r w:rsidDel="00000000" w:rsidR="00000000" w:rsidRPr="00000000">
        <w:rPr>
          <w:b w:val="1"/>
          <w:sz w:val="24"/>
          <w:szCs w:val="24"/>
          <w:rtl w:val="0"/>
        </w:rPr>
        <w:t xml:space="preserve">Appendixes</w:t>
      </w:r>
    </w:p>
    <w:p w:rsidR="00000000" w:rsidDel="00000000" w:rsidP="00000000" w:rsidRDefault="00000000" w:rsidRPr="00000000" w14:paraId="0000003A">
      <w:pPr>
        <w:spacing w:line="360" w:lineRule="auto"/>
        <w:rPr>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7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Number of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Number of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Kaggle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8">
              <w:r w:rsidDel="00000000" w:rsidR="00000000" w:rsidRPr="00000000">
                <w:rPr>
                  <w:color w:val="1155cc"/>
                  <w:sz w:val="24"/>
                  <w:szCs w:val="24"/>
                  <w:u w:val="single"/>
                  <w:rtl w:val="0"/>
                </w:rPr>
                <w:t xml:space="preserve">https://www.kaggle.com/datasets/vagifa/ethereum-frauddetection-dataset/data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49</w:t>
            </w:r>
          </w:p>
        </w:tc>
      </w:tr>
    </w:tbl>
    <w:p w:rsidR="00000000" w:rsidDel="00000000" w:rsidP="00000000" w:rsidRDefault="00000000" w:rsidRPr="00000000" w14:paraId="00000043">
      <w:pPr>
        <w:spacing w:line="360" w:lineRule="auto"/>
        <w:jc w:val="center"/>
        <w:rPr>
          <w:b w:val="1"/>
          <w:sz w:val="24"/>
          <w:szCs w:val="24"/>
        </w:rPr>
      </w:pPr>
      <w:r w:rsidDel="00000000" w:rsidR="00000000" w:rsidRPr="00000000">
        <w:rPr>
          <w:b w:val="1"/>
          <w:sz w:val="24"/>
          <w:szCs w:val="24"/>
          <w:rtl w:val="0"/>
        </w:rPr>
        <w:t xml:space="preserve">Fig 1.1: Data Sources</w:t>
      </w:r>
    </w:p>
    <w:p w:rsidR="00000000" w:rsidDel="00000000" w:rsidP="00000000" w:rsidRDefault="00000000" w:rsidRPr="00000000" w14:paraId="00000044">
      <w:pPr>
        <w:spacing w:line="360" w:lineRule="auto"/>
        <w:rPr>
          <w:b w:val="1"/>
          <w:sz w:val="24"/>
          <w:szCs w:val="24"/>
        </w:rPr>
      </w:pPr>
      <w:r w:rsidDel="00000000" w:rsidR="00000000" w:rsidRPr="00000000">
        <w:rPr>
          <w:rtl w:val="0"/>
        </w:rPr>
      </w:r>
    </w:p>
    <w:tbl>
      <w:tblPr>
        <w:tblStyle w:val="Table3"/>
        <w:tblpPr w:leftFromText="180" w:rightFromText="180" w:topFromText="180" w:bottomFromText="180" w:vertAnchor="text" w:horzAnchor="text" w:tblpX="3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p w:rsidR="00000000" w:rsidDel="00000000" w:rsidP="00000000" w:rsidRDefault="00000000" w:rsidRPr="00000000" w14:paraId="00000045">
            <w:pPr>
              <w:widowControl w:val="0"/>
              <w:spacing w:line="240" w:lineRule="auto"/>
              <w:rPr>
                <w:b w:val="1"/>
                <w:sz w:val="14"/>
                <w:szCs w:val="14"/>
              </w:rPr>
            </w:pPr>
            <w:r w:rsidDel="00000000" w:rsidR="00000000" w:rsidRPr="00000000">
              <w:rPr>
                <w:b w:val="1"/>
                <w:sz w:val="14"/>
                <w:szCs w:val="14"/>
                <w:rtl w:val="0"/>
              </w:rPr>
              <w:t xml:space="preserve">Variable</w:t>
            </w:r>
          </w:p>
        </w:tc>
        <w:tc>
          <w:tcPr/>
          <w:p w:rsidR="00000000" w:rsidDel="00000000" w:rsidP="00000000" w:rsidRDefault="00000000" w:rsidRPr="00000000" w14:paraId="00000046">
            <w:pPr>
              <w:widowControl w:val="0"/>
              <w:spacing w:line="240" w:lineRule="auto"/>
              <w:rPr>
                <w:b w:val="1"/>
                <w:sz w:val="14"/>
                <w:szCs w:val="14"/>
              </w:rPr>
            </w:pPr>
            <w:r w:rsidDel="00000000" w:rsidR="00000000" w:rsidRPr="00000000">
              <w:rPr>
                <w:b w:val="1"/>
                <w:sz w:val="14"/>
                <w:szCs w:val="14"/>
                <w:rtl w:val="0"/>
              </w:rPr>
              <w:t xml:space="preserve">Data Type</w:t>
            </w:r>
          </w:p>
        </w:tc>
        <w:tc>
          <w:tcPr/>
          <w:p w:rsidR="00000000" w:rsidDel="00000000" w:rsidP="00000000" w:rsidRDefault="00000000" w:rsidRPr="00000000" w14:paraId="00000047">
            <w:pPr>
              <w:widowControl w:val="0"/>
              <w:spacing w:line="240" w:lineRule="auto"/>
              <w:rPr>
                <w:b w:val="1"/>
                <w:sz w:val="14"/>
                <w:szCs w:val="14"/>
              </w:rPr>
            </w:pPr>
            <w:r w:rsidDel="00000000" w:rsidR="00000000" w:rsidRPr="00000000">
              <w:rPr>
                <w:b w:val="1"/>
                <w:sz w:val="14"/>
                <w:szCs w:val="14"/>
                <w:rtl w:val="0"/>
              </w:rPr>
              <w:t xml:space="preserve">Description</w:t>
            </w:r>
          </w:p>
        </w:tc>
      </w:tr>
      <w:tr>
        <w:trPr>
          <w:cantSplit w:val="0"/>
          <w:tblHeader w:val="0"/>
        </w:trPr>
        <w:tc>
          <w:tcPr/>
          <w:p w:rsidR="00000000" w:rsidDel="00000000" w:rsidP="00000000" w:rsidRDefault="00000000" w:rsidRPr="00000000" w14:paraId="00000048">
            <w:pPr>
              <w:widowControl w:val="0"/>
              <w:spacing w:line="240" w:lineRule="auto"/>
              <w:rPr>
                <w:sz w:val="14"/>
                <w:szCs w:val="14"/>
              </w:rPr>
            </w:pPr>
            <w:r w:rsidDel="00000000" w:rsidR="00000000" w:rsidRPr="00000000">
              <w:rPr>
                <w:color w:val="3c4043"/>
                <w:sz w:val="14"/>
                <w:szCs w:val="14"/>
                <w:highlight w:val="white"/>
                <w:rtl w:val="0"/>
              </w:rPr>
              <w:t xml:space="preserve">Address</w:t>
            </w:r>
            <w:r w:rsidDel="00000000" w:rsidR="00000000" w:rsidRPr="00000000">
              <w:rPr>
                <w:rtl w:val="0"/>
              </w:rPr>
            </w:r>
          </w:p>
        </w:tc>
        <w:tc>
          <w:tcPr/>
          <w:p w:rsidR="00000000" w:rsidDel="00000000" w:rsidP="00000000" w:rsidRDefault="00000000" w:rsidRPr="00000000" w14:paraId="00000049">
            <w:pPr>
              <w:widowControl w:val="0"/>
              <w:spacing w:line="240" w:lineRule="auto"/>
              <w:rPr>
                <w:sz w:val="14"/>
                <w:szCs w:val="14"/>
              </w:rPr>
            </w:pPr>
            <w:r w:rsidDel="00000000" w:rsidR="00000000" w:rsidRPr="00000000">
              <w:rPr>
                <w:sz w:val="14"/>
                <w:szCs w:val="14"/>
                <w:rtl w:val="0"/>
              </w:rPr>
              <w:t xml:space="preserve">object</w:t>
            </w:r>
          </w:p>
        </w:tc>
        <w:tc>
          <w:tcPr/>
          <w:p w:rsidR="00000000" w:rsidDel="00000000" w:rsidP="00000000" w:rsidRDefault="00000000" w:rsidRPr="00000000" w14:paraId="0000004A">
            <w:pPr>
              <w:widowControl w:val="0"/>
              <w:spacing w:line="240" w:lineRule="auto"/>
              <w:rPr>
                <w:sz w:val="14"/>
                <w:szCs w:val="14"/>
              </w:rPr>
            </w:pPr>
            <w:r w:rsidDel="00000000" w:rsidR="00000000" w:rsidRPr="00000000">
              <w:rPr>
                <w:sz w:val="14"/>
                <w:szCs w:val="14"/>
                <w:rtl w:val="0"/>
              </w:rPr>
              <w:t xml:space="preserve">The address of the ethereum account</w:t>
            </w:r>
          </w:p>
        </w:tc>
      </w:tr>
      <w:tr>
        <w:trPr>
          <w:cantSplit w:val="0"/>
          <w:tblHeader w:val="0"/>
        </w:trPr>
        <w:tc>
          <w:tcPr/>
          <w:p w:rsidR="00000000" w:rsidDel="00000000" w:rsidP="00000000" w:rsidRDefault="00000000" w:rsidRPr="00000000" w14:paraId="0000004B">
            <w:pPr>
              <w:widowControl w:val="0"/>
              <w:spacing w:line="240" w:lineRule="auto"/>
              <w:rPr>
                <w:sz w:val="14"/>
                <w:szCs w:val="14"/>
              </w:rPr>
            </w:pPr>
            <w:r w:rsidDel="00000000" w:rsidR="00000000" w:rsidRPr="00000000">
              <w:rPr>
                <w:sz w:val="14"/>
                <w:szCs w:val="14"/>
                <w:rtl w:val="0"/>
              </w:rPr>
              <w:t xml:space="preserve">FLAG</w:t>
            </w:r>
          </w:p>
        </w:tc>
        <w:tc>
          <w:tcPr/>
          <w:p w:rsidR="00000000" w:rsidDel="00000000" w:rsidP="00000000" w:rsidRDefault="00000000" w:rsidRPr="00000000" w14:paraId="0000004C">
            <w:pPr>
              <w:widowControl w:val="0"/>
              <w:spacing w:line="240" w:lineRule="auto"/>
              <w:rPr>
                <w:sz w:val="14"/>
                <w:szCs w:val="14"/>
              </w:rPr>
            </w:pPr>
            <w:r w:rsidDel="00000000" w:rsidR="00000000" w:rsidRPr="00000000">
              <w:rPr>
                <w:sz w:val="14"/>
                <w:szCs w:val="14"/>
                <w:rtl w:val="0"/>
              </w:rPr>
              <w:t xml:space="preserve">int</w:t>
            </w:r>
          </w:p>
        </w:tc>
        <w:tc>
          <w:tcPr/>
          <w:p w:rsidR="00000000" w:rsidDel="00000000" w:rsidP="00000000" w:rsidRDefault="00000000" w:rsidRPr="00000000" w14:paraId="0000004D">
            <w:pPr>
              <w:widowControl w:val="0"/>
              <w:spacing w:line="240" w:lineRule="auto"/>
              <w:rPr>
                <w:sz w:val="14"/>
                <w:szCs w:val="14"/>
              </w:rPr>
            </w:pPr>
            <w:r w:rsidDel="00000000" w:rsidR="00000000" w:rsidRPr="00000000">
              <w:rPr>
                <w:color w:val="3c4043"/>
                <w:sz w:val="14"/>
                <w:szCs w:val="14"/>
                <w:highlight w:val="white"/>
                <w:rtl w:val="0"/>
              </w:rPr>
              <w:t xml:space="preserve">whether the transaction is fraud or not</w:t>
            </w:r>
            <w:r w:rsidDel="00000000" w:rsidR="00000000" w:rsidRPr="00000000">
              <w:rPr>
                <w:rtl w:val="0"/>
              </w:rPr>
            </w:r>
          </w:p>
        </w:tc>
      </w:tr>
      <w:tr>
        <w:trPr>
          <w:cantSplit w:val="0"/>
          <w:tblHeader w:val="0"/>
        </w:trPr>
        <w:tc>
          <w:tcPr/>
          <w:p w:rsidR="00000000" w:rsidDel="00000000" w:rsidP="00000000" w:rsidRDefault="00000000" w:rsidRPr="00000000" w14:paraId="0000004E">
            <w:pPr>
              <w:widowControl w:val="0"/>
              <w:spacing w:line="240" w:lineRule="auto"/>
              <w:rPr>
                <w:sz w:val="14"/>
                <w:szCs w:val="14"/>
              </w:rPr>
            </w:pPr>
            <w:r w:rsidDel="00000000" w:rsidR="00000000" w:rsidRPr="00000000">
              <w:rPr>
                <w:color w:val="212121"/>
                <w:sz w:val="14"/>
                <w:szCs w:val="14"/>
                <w:highlight w:val="white"/>
                <w:rtl w:val="0"/>
              </w:rPr>
              <w:t xml:space="preserve">Avg min between sent tnx</w:t>
            </w:r>
            <w:r w:rsidDel="00000000" w:rsidR="00000000" w:rsidRPr="00000000">
              <w:rPr>
                <w:rtl w:val="0"/>
              </w:rPr>
            </w:r>
          </w:p>
        </w:tc>
        <w:tc>
          <w:tcPr/>
          <w:p w:rsidR="00000000" w:rsidDel="00000000" w:rsidP="00000000" w:rsidRDefault="00000000" w:rsidRPr="00000000" w14:paraId="0000004F">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50">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Average time between sent transactions for account in minutes</w:t>
            </w:r>
          </w:p>
        </w:tc>
      </w:tr>
      <w:tr>
        <w:trPr>
          <w:cantSplit w:val="0"/>
          <w:tblHeader w:val="0"/>
        </w:trPr>
        <w:tc>
          <w:tcPr/>
          <w:p w:rsidR="00000000" w:rsidDel="00000000" w:rsidP="00000000" w:rsidRDefault="00000000" w:rsidRPr="00000000" w14:paraId="00000051">
            <w:pPr>
              <w:widowControl w:val="0"/>
              <w:spacing w:line="240" w:lineRule="auto"/>
              <w:rPr>
                <w:color w:val="212121"/>
                <w:sz w:val="14"/>
                <w:szCs w:val="14"/>
                <w:highlight w:val="white"/>
              </w:rPr>
            </w:pPr>
            <w:r w:rsidDel="00000000" w:rsidR="00000000" w:rsidRPr="00000000">
              <w:rPr>
                <w:color w:val="3c4043"/>
                <w:sz w:val="14"/>
                <w:szCs w:val="14"/>
                <w:highlight w:val="white"/>
                <w:rtl w:val="0"/>
              </w:rPr>
              <w:t xml:space="preserve">Avg_min_between_received_tnx</w:t>
            </w:r>
            <w:r w:rsidDel="00000000" w:rsidR="00000000" w:rsidRPr="00000000">
              <w:rPr>
                <w:rtl w:val="0"/>
              </w:rPr>
            </w:r>
          </w:p>
        </w:tc>
        <w:tc>
          <w:tcPr/>
          <w:p w:rsidR="00000000" w:rsidDel="00000000" w:rsidP="00000000" w:rsidRDefault="00000000" w:rsidRPr="00000000" w14:paraId="00000052">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53">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Average time between received transactions for account in minutes</w:t>
            </w:r>
          </w:p>
        </w:tc>
      </w:tr>
      <w:tr>
        <w:trPr>
          <w:cantSplit w:val="0"/>
          <w:tblHeader w:val="0"/>
        </w:trPr>
        <w:tc>
          <w:tcPr/>
          <w:p w:rsidR="00000000" w:rsidDel="00000000" w:rsidP="00000000" w:rsidRDefault="00000000" w:rsidRPr="00000000" w14:paraId="00000054">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Time_Diff_between_first_and_last(Mins)</w:t>
            </w:r>
          </w:p>
        </w:tc>
        <w:tc>
          <w:tcPr/>
          <w:p w:rsidR="00000000" w:rsidDel="00000000" w:rsidP="00000000" w:rsidRDefault="00000000" w:rsidRPr="00000000" w14:paraId="00000055">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56">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Time difference between the first and last transaction</w:t>
            </w:r>
          </w:p>
        </w:tc>
      </w:tr>
      <w:tr>
        <w:trPr>
          <w:cantSplit w:val="0"/>
          <w:tblHeader w:val="0"/>
        </w:trPr>
        <w:tc>
          <w:tcPr/>
          <w:p w:rsidR="00000000" w:rsidDel="00000000" w:rsidP="00000000" w:rsidRDefault="00000000" w:rsidRPr="00000000" w14:paraId="00000057">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Sent_tnx</w:t>
            </w:r>
          </w:p>
        </w:tc>
        <w:tc>
          <w:tcPr/>
          <w:p w:rsidR="00000000" w:rsidDel="00000000" w:rsidP="00000000" w:rsidRDefault="00000000" w:rsidRPr="00000000" w14:paraId="00000058">
            <w:pPr>
              <w:widowControl w:val="0"/>
              <w:spacing w:line="240" w:lineRule="auto"/>
              <w:rPr>
                <w:sz w:val="14"/>
                <w:szCs w:val="14"/>
              </w:rPr>
            </w:pPr>
            <w:r w:rsidDel="00000000" w:rsidR="00000000" w:rsidRPr="00000000">
              <w:rPr>
                <w:sz w:val="14"/>
                <w:szCs w:val="14"/>
                <w:rtl w:val="0"/>
              </w:rPr>
              <w:t xml:space="preserve">int</w:t>
            </w:r>
          </w:p>
        </w:tc>
        <w:tc>
          <w:tcPr/>
          <w:p w:rsidR="00000000" w:rsidDel="00000000" w:rsidP="00000000" w:rsidRDefault="00000000" w:rsidRPr="00000000" w14:paraId="00000059">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number of sent normal transactions</w:t>
            </w:r>
          </w:p>
        </w:tc>
      </w:tr>
      <w:tr>
        <w:trPr>
          <w:cantSplit w:val="0"/>
          <w:tblHeader w:val="0"/>
        </w:trPr>
        <w:tc>
          <w:tcPr/>
          <w:p w:rsidR="00000000" w:rsidDel="00000000" w:rsidP="00000000" w:rsidRDefault="00000000" w:rsidRPr="00000000" w14:paraId="0000005A">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Received_tnx</w:t>
            </w:r>
          </w:p>
        </w:tc>
        <w:tc>
          <w:tcPr/>
          <w:p w:rsidR="00000000" w:rsidDel="00000000" w:rsidP="00000000" w:rsidRDefault="00000000" w:rsidRPr="00000000" w14:paraId="0000005B">
            <w:pPr>
              <w:widowControl w:val="0"/>
              <w:spacing w:line="240" w:lineRule="auto"/>
              <w:rPr>
                <w:sz w:val="14"/>
                <w:szCs w:val="14"/>
              </w:rPr>
            </w:pPr>
            <w:r w:rsidDel="00000000" w:rsidR="00000000" w:rsidRPr="00000000">
              <w:rPr>
                <w:sz w:val="14"/>
                <w:szCs w:val="14"/>
                <w:rtl w:val="0"/>
              </w:rPr>
              <w:t xml:space="preserve">int</w:t>
            </w:r>
          </w:p>
        </w:tc>
        <w:tc>
          <w:tcPr/>
          <w:p w:rsidR="00000000" w:rsidDel="00000000" w:rsidP="00000000" w:rsidRDefault="00000000" w:rsidRPr="00000000" w14:paraId="0000005C">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number of received normal transactions</w:t>
            </w:r>
          </w:p>
        </w:tc>
      </w:tr>
      <w:tr>
        <w:trPr>
          <w:cantSplit w:val="0"/>
          <w:tblHeader w:val="0"/>
        </w:trPr>
        <w:tc>
          <w:tcPr/>
          <w:p w:rsidR="00000000" w:rsidDel="00000000" w:rsidP="00000000" w:rsidRDefault="00000000" w:rsidRPr="00000000" w14:paraId="0000005D">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Number_of_Created_Contracts</w:t>
            </w:r>
          </w:p>
        </w:tc>
        <w:tc>
          <w:tcPr/>
          <w:p w:rsidR="00000000" w:rsidDel="00000000" w:rsidP="00000000" w:rsidRDefault="00000000" w:rsidRPr="00000000" w14:paraId="0000005E">
            <w:pPr>
              <w:widowControl w:val="0"/>
              <w:spacing w:line="240" w:lineRule="auto"/>
              <w:rPr>
                <w:sz w:val="14"/>
                <w:szCs w:val="14"/>
              </w:rPr>
            </w:pPr>
            <w:r w:rsidDel="00000000" w:rsidR="00000000" w:rsidRPr="00000000">
              <w:rPr>
                <w:sz w:val="14"/>
                <w:szCs w:val="14"/>
                <w:rtl w:val="0"/>
              </w:rPr>
              <w:t xml:space="preserve">int</w:t>
            </w:r>
          </w:p>
        </w:tc>
        <w:tc>
          <w:tcPr/>
          <w:p w:rsidR="00000000" w:rsidDel="00000000" w:rsidP="00000000" w:rsidRDefault="00000000" w:rsidRPr="00000000" w14:paraId="0000005F">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Number of created contract transactions</w:t>
            </w:r>
          </w:p>
        </w:tc>
      </w:tr>
      <w:tr>
        <w:trPr>
          <w:cantSplit w:val="0"/>
          <w:tblHeader w:val="0"/>
        </w:trPr>
        <w:tc>
          <w:tcPr/>
          <w:p w:rsidR="00000000" w:rsidDel="00000000" w:rsidP="00000000" w:rsidRDefault="00000000" w:rsidRPr="00000000" w14:paraId="00000060">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Unique_Received_From_Addresses</w:t>
            </w:r>
          </w:p>
        </w:tc>
        <w:tc>
          <w:tcPr/>
          <w:p w:rsidR="00000000" w:rsidDel="00000000" w:rsidP="00000000" w:rsidRDefault="00000000" w:rsidRPr="00000000" w14:paraId="00000061">
            <w:pPr>
              <w:widowControl w:val="0"/>
              <w:spacing w:line="240" w:lineRule="auto"/>
              <w:rPr>
                <w:sz w:val="14"/>
                <w:szCs w:val="14"/>
              </w:rPr>
            </w:pPr>
            <w:r w:rsidDel="00000000" w:rsidR="00000000" w:rsidRPr="00000000">
              <w:rPr>
                <w:sz w:val="14"/>
                <w:szCs w:val="14"/>
                <w:rtl w:val="0"/>
              </w:rPr>
              <w:t xml:space="preserve">int</w:t>
            </w:r>
          </w:p>
        </w:tc>
        <w:tc>
          <w:tcPr/>
          <w:p w:rsidR="00000000" w:rsidDel="00000000" w:rsidP="00000000" w:rsidRDefault="00000000" w:rsidRPr="00000000" w14:paraId="00000062">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Unique addresses from which account received transactions</w:t>
            </w:r>
          </w:p>
        </w:tc>
      </w:tr>
      <w:tr>
        <w:trPr>
          <w:cantSplit w:val="0"/>
          <w:tblHeader w:val="0"/>
        </w:trPr>
        <w:tc>
          <w:tcPr/>
          <w:p w:rsidR="00000000" w:rsidDel="00000000" w:rsidP="00000000" w:rsidRDefault="00000000" w:rsidRPr="00000000" w14:paraId="00000063">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Unique_Sent_To_Addresses20</w:t>
            </w:r>
          </w:p>
        </w:tc>
        <w:tc>
          <w:tcPr/>
          <w:p w:rsidR="00000000" w:rsidDel="00000000" w:rsidP="00000000" w:rsidRDefault="00000000" w:rsidRPr="00000000" w14:paraId="00000064">
            <w:pPr>
              <w:widowControl w:val="0"/>
              <w:spacing w:line="240" w:lineRule="auto"/>
              <w:rPr>
                <w:sz w:val="14"/>
                <w:szCs w:val="14"/>
              </w:rPr>
            </w:pPr>
            <w:r w:rsidDel="00000000" w:rsidR="00000000" w:rsidRPr="00000000">
              <w:rPr>
                <w:sz w:val="14"/>
                <w:szCs w:val="14"/>
                <w:rtl w:val="0"/>
              </w:rPr>
              <w:t xml:space="preserve">int</w:t>
            </w:r>
          </w:p>
        </w:tc>
        <w:tc>
          <w:tcPr/>
          <w:p w:rsidR="00000000" w:rsidDel="00000000" w:rsidP="00000000" w:rsidRDefault="00000000" w:rsidRPr="00000000" w14:paraId="00000065">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Unique addresses from which account sent transactions</w:t>
            </w:r>
          </w:p>
        </w:tc>
      </w:tr>
      <w:tr>
        <w:trPr>
          <w:cantSplit w:val="0"/>
          <w:tblHeader w:val="0"/>
        </w:trPr>
        <w:tc>
          <w:tcPr/>
          <w:p w:rsidR="00000000" w:rsidDel="00000000" w:rsidP="00000000" w:rsidRDefault="00000000" w:rsidRPr="00000000" w14:paraId="00000066">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Min_Value_Received</w:t>
            </w:r>
          </w:p>
        </w:tc>
        <w:tc>
          <w:tcPr/>
          <w:p w:rsidR="00000000" w:rsidDel="00000000" w:rsidP="00000000" w:rsidRDefault="00000000" w:rsidRPr="00000000" w14:paraId="00000067">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68">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Minimum value in Ether ever received</w:t>
            </w:r>
          </w:p>
        </w:tc>
      </w:tr>
      <w:tr>
        <w:trPr>
          <w:cantSplit w:val="0"/>
          <w:tblHeader w:val="0"/>
        </w:trPr>
        <w:tc>
          <w:tcPr/>
          <w:p w:rsidR="00000000" w:rsidDel="00000000" w:rsidP="00000000" w:rsidRDefault="00000000" w:rsidRPr="00000000" w14:paraId="00000069">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Max_Value_Received</w:t>
            </w:r>
          </w:p>
        </w:tc>
        <w:tc>
          <w:tcPr/>
          <w:p w:rsidR="00000000" w:rsidDel="00000000" w:rsidP="00000000" w:rsidRDefault="00000000" w:rsidRPr="00000000" w14:paraId="0000006A">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6B">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Maximum value in Ether ever received</w:t>
            </w:r>
          </w:p>
        </w:tc>
      </w:tr>
      <w:tr>
        <w:trPr>
          <w:cantSplit w:val="0"/>
          <w:tblHeader w:val="0"/>
        </w:trPr>
        <w:tc>
          <w:tcPr/>
          <w:p w:rsidR="00000000" w:rsidDel="00000000" w:rsidP="00000000" w:rsidRDefault="00000000" w:rsidRPr="00000000" w14:paraId="0000006C">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Avg_Value_Received</w:t>
            </w:r>
          </w:p>
        </w:tc>
        <w:tc>
          <w:tcPr/>
          <w:p w:rsidR="00000000" w:rsidDel="00000000" w:rsidP="00000000" w:rsidRDefault="00000000" w:rsidRPr="00000000" w14:paraId="0000006D">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6E">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Average value in Ether ever received</w:t>
            </w:r>
          </w:p>
        </w:tc>
      </w:tr>
      <w:tr>
        <w:trPr>
          <w:cantSplit w:val="0"/>
          <w:tblHeader w:val="0"/>
        </w:trPr>
        <w:tc>
          <w:tcPr/>
          <w:p w:rsidR="00000000" w:rsidDel="00000000" w:rsidP="00000000" w:rsidRDefault="00000000" w:rsidRPr="00000000" w14:paraId="0000006F">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Min_Val_Sent</w:t>
            </w:r>
          </w:p>
        </w:tc>
        <w:tc>
          <w:tcPr/>
          <w:p w:rsidR="00000000" w:rsidDel="00000000" w:rsidP="00000000" w:rsidRDefault="00000000" w:rsidRPr="00000000" w14:paraId="00000070">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71">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Minimum value of Ether ever sent</w:t>
            </w:r>
          </w:p>
        </w:tc>
      </w:tr>
      <w:tr>
        <w:trPr>
          <w:cantSplit w:val="0"/>
          <w:tblHeader w:val="0"/>
        </w:trPr>
        <w:tc>
          <w:tcPr/>
          <w:p w:rsidR="00000000" w:rsidDel="00000000" w:rsidP="00000000" w:rsidRDefault="00000000" w:rsidRPr="00000000" w14:paraId="00000072">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Max_Val_Sent</w:t>
            </w:r>
          </w:p>
        </w:tc>
        <w:tc>
          <w:tcPr/>
          <w:p w:rsidR="00000000" w:rsidDel="00000000" w:rsidP="00000000" w:rsidRDefault="00000000" w:rsidRPr="00000000" w14:paraId="00000073">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74">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Maximum value of Ether ever sent</w:t>
            </w:r>
          </w:p>
        </w:tc>
      </w:tr>
      <w:tr>
        <w:trPr>
          <w:cantSplit w:val="0"/>
          <w:tblHeader w:val="0"/>
        </w:trPr>
        <w:tc>
          <w:tcPr/>
          <w:p w:rsidR="00000000" w:rsidDel="00000000" w:rsidP="00000000" w:rsidRDefault="00000000" w:rsidRPr="00000000" w14:paraId="00000075">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Avg_Val_Sent</w:t>
            </w:r>
          </w:p>
        </w:tc>
        <w:tc>
          <w:tcPr/>
          <w:p w:rsidR="00000000" w:rsidDel="00000000" w:rsidP="00000000" w:rsidRDefault="00000000" w:rsidRPr="00000000" w14:paraId="00000076">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77">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Average value of Ether ever sent</w:t>
            </w:r>
          </w:p>
        </w:tc>
      </w:tr>
      <w:tr>
        <w:trPr>
          <w:cantSplit w:val="0"/>
          <w:tblHeader w:val="0"/>
        </w:trPr>
        <w:tc>
          <w:tcPr/>
          <w:p w:rsidR="00000000" w:rsidDel="00000000" w:rsidP="00000000" w:rsidRDefault="00000000" w:rsidRPr="00000000" w14:paraId="00000078">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Min_Value_Sent_To_Contract</w:t>
            </w:r>
          </w:p>
        </w:tc>
        <w:tc>
          <w:tcPr/>
          <w:p w:rsidR="00000000" w:rsidDel="00000000" w:rsidP="00000000" w:rsidRDefault="00000000" w:rsidRPr="00000000" w14:paraId="00000079">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7A">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Minimum value of Ether sent to a contract</w:t>
            </w:r>
          </w:p>
        </w:tc>
      </w:tr>
      <w:tr>
        <w:trPr>
          <w:cantSplit w:val="0"/>
          <w:tblHeader w:val="0"/>
        </w:trPr>
        <w:tc>
          <w:tcPr/>
          <w:p w:rsidR="00000000" w:rsidDel="00000000" w:rsidP="00000000" w:rsidRDefault="00000000" w:rsidRPr="00000000" w14:paraId="0000007B">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Max_Value_Sent_To_Contract</w:t>
            </w:r>
          </w:p>
        </w:tc>
        <w:tc>
          <w:tcPr/>
          <w:p w:rsidR="00000000" w:rsidDel="00000000" w:rsidP="00000000" w:rsidRDefault="00000000" w:rsidRPr="00000000" w14:paraId="0000007C">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7D">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Maximum value of Ether sent to a contract</w:t>
            </w:r>
          </w:p>
        </w:tc>
      </w:tr>
      <w:tr>
        <w:trPr>
          <w:cantSplit w:val="0"/>
          <w:tblHeader w:val="0"/>
        </w:trPr>
        <w:tc>
          <w:tcPr/>
          <w:p w:rsidR="00000000" w:rsidDel="00000000" w:rsidP="00000000" w:rsidRDefault="00000000" w:rsidRPr="00000000" w14:paraId="0000007E">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Avg_Value_Sent_To_Contract</w:t>
            </w:r>
          </w:p>
        </w:tc>
        <w:tc>
          <w:tcPr/>
          <w:p w:rsidR="00000000" w:rsidDel="00000000" w:rsidP="00000000" w:rsidRDefault="00000000" w:rsidRPr="00000000" w14:paraId="0000007F">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80">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Average value of Ether sent to contracts</w:t>
            </w:r>
          </w:p>
        </w:tc>
      </w:tr>
      <w:tr>
        <w:trPr>
          <w:cantSplit w:val="0"/>
          <w:tblHeader w:val="0"/>
        </w:trPr>
        <w:tc>
          <w:tcPr/>
          <w:p w:rsidR="00000000" w:rsidDel="00000000" w:rsidP="00000000" w:rsidRDefault="00000000" w:rsidRPr="00000000" w14:paraId="00000081">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Total_Transactions(Including_Tnx_to_Create_Contract)</w:t>
            </w:r>
          </w:p>
        </w:tc>
        <w:tc>
          <w:tcPr/>
          <w:p w:rsidR="00000000" w:rsidDel="00000000" w:rsidP="00000000" w:rsidRDefault="00000000" w:rsidRPr="00000000" w14:paraId="00000082">
            <w:pPr>
              <w:widowControl w:val="0"/>
              <w:spacing w:line="240" w:lineRule="auto"/>
              <w:rPr>
                <w:sz w:val="14"/>
                <w:szCs w:val="14"/>
              </w:rPr>
            </w:pPr>
            <w:r w:rsidDel="00000000" w:rsidR="00000000" w:rsidRPr="00000000">
              <w:rPr>
                <w:sz w:val="14"/>
                <w:szCs w:val="14"/>
                <w:rtl w:val="0"/>
              </w:rPr>
              <w:t xml:space="preserve">int</w:t>
            </w:r>
          </w:p>
        </w:tc>
        <w:tc>
          <w:tcPr/>
          <w:p w:rsidR="00000000" w:rsidDel="00000000" w:rsidP="00000000" w:rsidRDefault="00000000" w:rsidRPr="00000000" w14:paraId="00000083">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number of transactions</w:t>
            </w:r>
          </w:p>
        </w:tc>
      </w:tr>
      <w:tr>
        <w:trPr>
          <w:cantSplit w:val="0"/>
          <w:tblHeader w:val="0"/>
        </w:trPr>
        <w:tc>
          <w:tcPr/>
          <w:p w:rsidR="00000000" w:rsidDel="00000000" w:rsidP="00000000" w:rsidRDefault="00000000" w:rsidRPr="00000000" w14:paraId="00000084">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Total_Ether_Sent</w:t>
            </w:r>
          </w:p>
        </w:tc>
        <w:tc>
          <w:tcPr/>
          <w:p w:rsidR="00000000" w:rsidDel="00000000" w:rsidP="00000000" w:rsidRDefault="00000000" w:rsidRPr="00000000" w14:paraId="00000085">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86">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Ether sent for account address</w:t>
            </w:r>
          </w:p>
        </w:tc>
      </w:tr>
      <w:tr>
        <w:trPr>
          <w:cantSplit w:val="0"/>
          <w:tblHeader w:val="0"/>
        </w:trPr>
        <w:tc>
          <w:tcPr/>
          <w:p w:rsidR="00000000" w:rsidDel="00000000" w:rsidP="00000000" w:rsidRDefault="00000000" w:rsidRPr="00000000" w14:paraId="00000087">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Total_Ether_Received</w:t>
            </w:r>
          </w:p>
        </w:tc>
        <w:tc>
          <w:tcPr/>
          <w:p w:rsidR="00000000" w:rsidDel="00000000" w:rsidP="00000000" w:rsidRDefault="00000000" w:rsidRPr="00000000" w14:paraId="00000088">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89">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Ether received for account address</w:t>
            </w:r>
          </w:p>
        </w:tc>
      </w:tr>
      <w:tr>
        <w:trPr>
          <w:cantSplit w:val="0"/>
          <w:tblHeader w:val="0"/>
        </w:trPr>
        <w:tc>
          <w:tcPr/>
          <w:p w:rsidR="00000000" w:rsidDel="00000000" w:rsidP="00000000" w:rsidRDefault="00000000" w:rsidRPr="00000000" w14:paraId="0000008A">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Total_Ether_Sent_Contracts</w:t>
            </w:r>
          </w:p>
        </w:tc>
        <w:tc>
          <w:tcPr/>
          <w:p w:rsidR="00000000" w:rsidDel="00000000" w:rsidP="00000000" w:rsidRDefault="00000000" w:rsidRPr="00000000" w14:paraId="0000008B">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8C">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Ether sent to Contract addresses</w:t>
            </w:r>
          </w:p>
        </w:tc>
      </w:tr>
      <w:tr>
        <w:trPr>
          <w:cantSplit w:val="0"/>
          <w:tblHeader w:val="0"/>
        </w:trPr>
        <w:tc>
          <w:tcPr/>
          <w:p w:rsidR="00000000" w:rsidDel="00000000" w:rsidP="00000000" w:rsidRDefault="00000000" w:rsidRPr="00000000" w14:paraId="0000008D">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Total_Ether_Balance</w:t>
            </w:r>
          </w:p>
        </w:tc>
        <w:tc>
          <w:tcPr/>
          <w:p w:rsidR="00000000" w:rsidDel="00000000" w:rsidP="00000000" w:rsidRDefault="00000000" w:rsidRPr="00000000" w14:paraId="0000008E">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8F">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Ether Balance following enacted transactions</w:t>
            </w:r>
          </w:p>
        </w:tc>
      </w:tr>
      <w:tr>
        <w:trPr>
          <w:cantSplit w:val="0"/>
          <w:tblHeader w:val="0"/>
        </w:trPr>
        <w:tc>
          <w:tcPr/>
          <w:p w:rsidR="00000000" w:rsidDel="00000000" w:rsidP="00000000" w:rsidRDefault="00000000" w:rsidRPr="00000000" w14:paraId="00000090">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Total_ERC20_Tnxs</w:t>
            </w:r>
          </w:p>
        </w:tc>
        <w:tc>
          <w:tcPr/>
          <w:p w:rsidR="00000000" w:rsidDel="00000000" w:rsidP="00000000" w:rsidRDefault="00000000" w:rsidRPr="00000000" w14:paraId="00000091">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92">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number of ERC20 token transfer transactions</w:t>
            </w:r>
          </w:p>
        </w:tc>
      </w:tr>
      <w:tr>
        <w:trPr>
          <w:cantSplit w:val="0"/>
          <w:tblHeader w:val="0"/>
        </w:trPr>
        <w:tc>
          <w:tcPr/>
          <w:p w:rsidR="00000000" w:rsidDel="00000000" w:rsidP="00000000" w:rsidRDefault="00000000" w:rsidRPr="00000000" w14:paraId="00000093">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ERC20_Total_Ether_Received</w:t>
            </w:r>
          </w:p>
        </w:tc>
        <w:tc>
          <w:tcPr/>
          <w:p w:rsidR="00000000" w:rsidDel="00000000" w:rsidP="00000000" w:rsidRDefault="00000000" w:rsidRPr="00000000" w14:paraId="00000094">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95">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ERC20 token received transactions in Ether</w:t>
            </w:r>
          </w:p>
        </w:tc>
      </w:tr>
      <w:tr>
        <w:trPr>
          <w:cantSplit w:val="0"/>
          <w:tblHeader w:val="0"/>
        </w:trPr>
        <w:tc>
          <w:tcPr/>
          <w:p w:rsidR="00000000" w:rsidDel="00000000" w:rsidP="00000000" w:rsidRDefault="00000000" w:rsidRPr="00000000" w14:paraId="00000096">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ERC20_Total_Ether_Sent</w:t>
            </w:r>
          </w:p>
        </w:tc>
        <w:tc>
          <w:tcPr/>
          <w:p w:rsidR="00000000" w:rsidDel="00000000" w:rsidP="00000000" w:rsidRDefault="00000000" w:rsidRPr="00000000" w14:paraId="00000097">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98">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ERC20token sent transactions in Ether</w:t>
            </w:r>
          </w:p>
        </w:tc>
      </w:tr>
      <w:tr>
        <w:trPr>
          <w:cantSplit w:val="0"/>
          <w:tblHeader w:val="0"/>
        </w:trPr>
        <w:tc>
          <w:tcPr/>
          <w:p w:rsidR="00000000" w:rsidDel="00000000" w:rsidP="00000000" w:rsidRDefault="00000000" w:rsidRPr="00000000" w14:paraId="00000099">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ERC20_Total_Ether_Sent_Contract</w:t>
            </w:r>
          </w:p>
        </w:tc>
        <w:tc>
          <w:tcPr/>
          <w:p w:rsidR="00000000" w:rsidDel="00000000" w:rsidP="00000000" w:rsidRDefault="00000000" w:rsidRPr="00000000" w14:paraId="0000009A">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9B">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Total ERC20 token transfer to other contracts in Ether</w:t>
            </w:r>
          </w:p>
        </w:tc>
      </w:tr>
      <w:tr>
        <w:trPr>
          <w:cantSplit w:val="0"/>
          <w:tblHeader w:val="0"/>
        </w:trPr>
        <w:tc>
          <w:tcPr/>
          <w:p w:rsidR="00000000" w:rsidDel="00000000" w:rsidP="00000000" w:rsidRDefault="00000000" w:rsidRPr="00000000" w14:paraId="0000009C">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ERC20_Uniq_Sent_Addr</w:t>
            </w:r>
          </w:p>
        </w:tc>
        <w:tc>
          <w:tcPr/>
          <w:p w:rsidR="00000000" w:rsidDel="00000000" w:rsidP="00000000" w:rsidRDefault="00000000" w:rsidRPr="00000000" w14:paraId="0000009D">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9E">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 Number of ERC20 token transactions sent to Unique account addresses</w:t>
            </w:r>
          </w:p>
        </w:tc>
      </w:tr>
      <w:tr>
        <w:trPr>
          <w:cantSplit w:val="0"/>
          <w:tblHeader w:val="0"/>
        </w:trPr>
        <w:tc>
          <w:tcPr/>
          <w:p w:rsidR="00000000" w:rsidDel="00000000" w:rsidP="00000000" w:rsidRDefault="00000000" w:rsidRPr="00000000" w14:paraId="0000009F">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ERC20_Uniq_Rec_Addr</w:t>
            </w:r>
          </w:p>
        </w:tc>
        <w:tc>
          <w:tcPr/>
          <w:p w:rsidR="00000000" w:rsidDel="00000000" w:rsidP="00000000" w:rsidRDefault="00000000" w:rsidRPr="00000000" w14:paraId="000000A0">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A1">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Number of ERC20 token transactions received from Unique addresses</w:t>
            </w:r>
          </w:p>
        </w:tc>
      </w:tr>
      <w:tr>
        <w:trPr>
          <w:cantSplit w:val="0"/>
          <w:tblHeader w:val="0"/>
        </w:trPr>
        <w:tc>
          <w:tcPr/>
          <w:p w:rsidR="00000000" w:rsidDel="00000000" w:rsidP="00000000" w:rsidRDefault="00000000" w:rsidRPr="00000000" w14:paraId="000000A2">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ERC20_Uniq_Rec_Contract_Addr</w:t>
            </w:r>
          </w:p>
        </w:tc>
        <w:tc>
          <w:tcPr/>
          <w:p w:rsidR="00000000" w:rsidDel="00000000" w:rsidP="00000000" w:rsidRDefault="00000000" w:rsidRPr="00000000" w14:paraId="000000A3">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A4">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Number of ERC20token transactions received from Unique contract addresses</w:t>
            </w:r>
          </w:p>
        </w:tc>
      </w:tr>
      <w:tr>
        <w:trPr>
          <w:cantSplit w:val="0"/>
          <w:tblHeader w:val="0"/>
        </w:trPr>
        <w:tc>
          <w:tcPr/>
          <w:p w:rsidR="00000000" w:rsidDel="00000000" w:rsidP="00000000" w:rsidRDefault="00000000" w:rsidRPr="00000000" w14:paraId="000000A5">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ERC20_Avg_Time_Between_Sent_Tnx</w:t>
            </w:r>
          </w:p>
        </w:tc>
        <w:tc>
          <w:tcPr/>
          <w:p w:rsidR="00000000" w:rsidDel="00000000" w:rsidP="00000000" w:rsidRDefault="00000000" w:rsidRPr="00000000" w14:paraId="000000A6">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A7">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Average time between ERC20 token sent transactions in minutes</w:t>
            </w:r>
          </w:p>
        </w:tc>
      </w:tr>
      <w:tr>
        <w:trPr>
          <w:cantSplit w:val="0"/>
          <w:tblHeader w:val="0"/>
        </w:trPr>
        <w:tc>
          <w:tcPr/>
          <w:p w:rsidR="00000000" w:rsidDel="00000000" w:rsidP="00000000" w:rsidRDefault="00000000" w:rsidRPr="00000000" w14:paraId="000000A8">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ERC20_Avg_Time_Between_Rec_Tnx</w:t>
            </w:r>
          </w:p>
        </w:tc>
        <w:tc>
          <w:tcPr/>
          <w:p w:rsidR="00000000" w:rsidDel="00000000" w:rsidP="00000000" w:rsidRDefault="00000000" w:rsidRPr="00000000" w14:paraId="000000A9">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AA">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Average time between ERC20 token received transactions in minutes</w:t>
            </w:r>
          </w:p>
        </w:tc>
      </w:tr>
      <w:tr>
        <w:trPr>
          <w:cantSplit w:val="0"/>
          <w:tblHeader w:val="0"/>
        </w:trPr>
        <w:tc>
          <w:tcPr/>
          <w:p w:rsidR="00000000" w:rsidDel="00000000" w:rsidP="00000000" w:rsidRDefault="00000000" w:rsidRPr="00000000" w14:paraId="000000AB">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ERC20_Avg_Time_Between_Contract_Tnx</w:t>
            </w:r>
          </w:p>
        </w:tc>
        <w:tc>
          <w:tcPr/>
          <w:p w:rsidR="00000000" w:rsidDel="00000000" w:rsidP="00000000" w:rsidRDefault="00000000" w:rsidRPr="00000000" w14:paraId="000000AC">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AD">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Average time ERC20 token between sent token transactions</w:t>
            </w:r>
          </w:p>
        </w:tc>
      </w:tr>
      <w:tr>
        <w:trPr>
          <w:cantSplit w:val="0"/>
          <w:tblHeader w:val="0"/>
        </w:trPr>
        <w:tc>
          <w:tcPr/>
          <w:p w:rsidR="00000000" w:rsidDel="00000000" w:rsidP="00000000" w:rsidRDefault="00000000" w:rsidRPr="00000000" w14:paraId="000000AE">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ERC20_Min_Val_Rec</w:t>
            </w:r>
          </w:p>
        </w:tc>
        <w:tc>
          <w:tcPr/>
          <w:p w:rsidR="00000000" w:rsidDel="00000000" w:rsidP="00000000" w:rsidRDefault="00000000" w:rsidRPr="00000000" w14:paraId="000000AF">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B0">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Minimum value in Ether received from ERC20 token transactions for account</w:t>
            </w:r>
          </w:p>
        </w:tc>
      </w:tr>
      <w:tr>
        <w:trPr>
          <w:cantSplit w:val="0"/>
          <w:tblHeader w:val="0"/>
        </w:trPr>
        <w:tc>
          <w:tcPr/>
          <w:p w:rsidR="00000000" w:rsidDel="00000000" w:rsidP="00000000" w:rsidRDefault="00000000" w:rsidRPr="00000000" w14:paraId="000000B1">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ERC20_Max_Val_Rec</w:t>
            </w:r>
          </w:p>
        </w:tc>
        <w:tc>
          <w:tcPr/>
          <w:p w:rsidR="00000000" w:rsidDel="00000000" w:rsidP="00000000" w:rsidRDefault="00000000" w:rsidRPr="00000000" w14:paraId="000000B2">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B3">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Maximum value in Ether received from ERC20 token transactions for account</w:t>
            </w:r>
          </w:p>
        </w:tc>
      </w:tr>
      <w:tr>
        <w:trPr>
          <w:cantSplit w:val="0"/>
          <w:tblHeader w:val="0"/>
        </w:trPr>
        <w:tc>
          <w:tcPr/>
          <w:p w:rsidR="00000000" w:rsidDel="00000000" w:rsidP="00000000" w:rsidRDefault="00000000" w:rsidRPr="00000000" w14:paraId="000000B4">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ERC20_Avg_Val_Rec</w:t>
            </w:r>
          </w:p>
        </w:tc>
        <w:tc>
          <w:tcPr/>
          <w:p w:rsidR="00000000" w:rsidDel="00000000" w:rsidP="00000000" w:rsidRDefault="00000000" w:rsidRPr="00000000" w14:paraId="000000B5">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B6">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Average value in Ether received from ERC20 token transactions </w:t>
            </w:r>
          </w:p>
        </w:tc>
      </w:tr>
      <w:tr>
        <w:trPr>
          <w:cantSplit w:val="0"/>
          <w:tblHeader w:val="0"/>
        </w:trPr>
        <w:tc>
          <w:tcPr/>
          <w:p w:rsidR="00000000" w:rsidDel="00000000" w:rsidP="00000000" w:rsidRDefault="00000000" w:rsidRPr="00000000" w14:paraId="000000B7">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ERC20_Min_Val_Sent</w:t>
            </w:r>
          </w:p>
        </w:tc>
        <w:tc>
          <w:tcPr/>
          <w:p w:rsidR="00000000" w:rsidDel="00000000" w:rsidP="00000000" w:rsidRDefault="00000000" w:rsidRPr="00000000" w14:paraId="000000B8">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B9">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Minimum value in Ether sent from ERC20 token transactions for account</w:t>
            </w:r>
          </w:p>
        </w:tc>
      </w:tr>
      <w:tr>
        <w:trPr>
          <w:cantSplit w:val="0"/>
          <w:tblHeader w:val="0"/>
        </w:trPr>
        <w:tc>
          <w:tcPr/>
          <w:p w:rsidR="00000000" w:rsidDel="00000000" w:rsidP="00000000" w:rsidRDefault="00000000" w:rsidRPr="00000000" w14:paraId="000000BA">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ERC20_Max_Val_Sent</w:t>
            </w:r>
          </w:p>
        </w:tc>
        <w:tc>
          <w:tcPr/>
          <w:p w:rsidR="00000000" w:rsidDel="00000000" w:rsidP="00000000" w:rsidRDefault="00000000" w:rsidRPr="00000000" w14:paraId="000000BB">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BC">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Maximum value in Ether sent from ERC20 token transactions for account</w:t>
            </w:r>
          </w:p>
        </w:tc>
      </w:tr>
      <w:tr>
        <w:trPr>
          <w:cantSplit w:val="0"/>
          <w:tblHeader w:val="0"/>
        </w:trPr>
        <w:tc>
          <w:tcPr/>
          <w:p w:rsidR="00000000" w:rsidDel="00000000" w:rsidP="00000000" w:rsidRDefault="00000000" w:rsidRPr="00000000" w14:paraId="000000BD">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ERC20_Avg_Val_Sent</w:t>
            </w:r>
          </w:p>
        </w:tc>
        <w:tc>
          <w:tcPr/>
          <w:p w:rsidR="00000000" w:rsidDel="00000000" w:rsidP="00000000" w:rsidRDefault="00000000" w:rsidRPr="00000000" w14:paraId="000000BE">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BF">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Average value in Ether sent from ERC20 token transactions for account</w:t>
            </w:r>
          </w:p>
        </w:tc>
      </w:tr>
      <w:tr>
        <w:trPr>
          <w:cantSplit w:val="0"/>
          <w:tblHeader w:val="0"/>
        </w:trPr>
        <w:tc>
          <w:tcPr/>
          <w:p w:rsidR="00000000" w:rsidDel="00000000" w:rsidP="00000000" w:rsidRDefault="00000000" w:rsidRPr="00000000" w14:paraId="000000C0">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ERC20_Uniq_Sent_Token_Name</w:t>
            </w:r>
          </w:p>
        </w:tc>
        <w:tc>
          <w:tcPr/>
          <w:p w:rsidR="00000000" w:rsidDel="00000000" w:rsidP="00000000" w:rsidRDefault="00000000" w:rsidRPr="00000000" w14:paraId="000000C1">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C2">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Number of Unique ERC20 tokens transferred</w:t>
            </w:r>
          </w:p>
        </w:tc>
      </w:tr>
      <w:tr>
        <w:trPr>
          <w:cantSplit w:val="0"/>
          <w:tblHeader w:val="0"/>
        </w:trPr>
        <w:tc>
          <w:tcPr/>
          <w:p w:rsidR="00000000" w:rsidDel="00000000" w:rsidP="00000000" w:rsidRDefault="00000000" w:rsidRPr="00000000" w14:paraId="000000C3">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ERC20_Uniq_Rec_Token_Name</w:t>
            </w:r>
          </w:p>
        </w:tc>
        <w:tc>
          <w:tcPr/>
          <w:p w:rsidR="00000000" w:rsidDel="00000000" w:rsidP="00000000" w:rsidRDefault="00000000" w:rsidRPr="00000000" w14:paraId="000000C4">
            <w:pPr>
              <w:widowControl w:val="0"/>
              <w:spacing w:line="240" w:lineRule="auto"/>
              <w:rPr>
                <w:sz w:val="14"/>
                <w:szCs w:val="14"/>
              </w:rPr>
            </w:pPr>
            <w:r w:rsidDel="00000000" w:rsidR="00000000" w:rsidRPr="00000000">
              <w:rPr>
                <w:sz w:val="14"/>
                <w:szCs w:val="14"/>
                <w:rtl w:val="0"/>
              </w:rPr>
              <w:t xml:space="preserve">float</w:t>
            </w:r>
          </w:p>
        </w:tc>
        <w:tc>
          <w:tcPr/>
          <w:p w:rsidR="00000000" w:rsidDel="00000000" w:rsidP="00000000" w:rsidRDefault="00000000" w:rsidRPr="00000000" w14:paraId="000000C5">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Number of Unique ERC20 tokens received</w:t>
            </w:r>
          </w:p>
        </w:tc>
      </w:tr>
      <w:tr>
        <w:trPr>
          <w:cantSplit w:val="0"/>
          <w:tblHeader w:val="0"/>
        </w:trPr>
        <w:tc>
          <w:tcPr/>
          <w:p w:rsidR="00000000" w:rsidDel="00000000" w:rsidP="00000000" w:rsidRDefault="00000000" w:rsidRPr="00000000" w14:paraId="000000C6">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ERC20_Most_Sent_Token_Type</w:t>
            </w:r>
          </w:p>
        </w:tc>
        <w:tc>
          <w:tcPr/>
          <w:p w:rsidR="00000000" w:rsidDel="00000000" w:rsidP="00000000" w:rsidRDefault="00000000" w:rsidRPr="00000000" w14:paraId="000000C7">
            <w:pPr>
              <w:widowControl w:val="0"/>
              <w:spacing w:line="240" w:lineRule="auto"/>
              <w:rPr>
                <w:sz w:val="14"/>
                <w:szCs w:val="14"/>
              </w:rPr>
            </w:pPr>
            <w:r w:rsidDel="00000000" w:rsidR="00000000" w:rsidRPr="00000000">
              <w:rPr>
                <w:sz w:val="14"/>
                <w:szCs w:val="14"/>
                <w:rtl w:val="0"/>
              </w:rPr>
              <w:t xml:space="preserve">object</w:t>
            </w:r>
          </w:p>
        </w:tc>
        <w:tc>
          <w:tcPr/>
          <w:p w:rsidR="00000000" w:rsidDel="00000000" w:rsidP="00000000" w:rsidRDefault="00000000" w:rsidRPr="00000000" w14:paraId="000000C8">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Most sent token for account via ERC20 transaction</w:t>
            </w:r>
          </w:p>
        </w:tc>
      </w:tr>
      <w:tr>
        <w:trPr>
          <w:cantSplit w:val="0"/>
          <w:tblHeader w:val="0"/>
        </w:trPr>
        <w:tc>
          <w:tcPr/>
          <w:p w:rsidR="00000000" w:rsidDel="00000000" w:rsidP="00000000" w:rsidRDefault="00000000" w:rsidRPr="00000000" w14:paraId="000000C9">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ERC20_Most_Rec_Token_Type</w:t>
            </w:r>
          </w:p>
        </w:tc>
        <w:tc>
          <w:tcPr/>
          <w:p w:rsidR="00000000" w:rsidDel="00000000" w:rsidP="00000000" w:rsidRDefault="00000000" w:rsidRPr="00000000" w14:paraId="000000CA">
            <w:pPr>
              <w:widowControl w:val="0"/>
              <w:spacing w:line="240" w:lineRule="auto"/>
              <w:rPr>
                <w:sz w:val="14"/>
                <w:szCs w:val="14"/>
              </w:rPr>
            </w:pPr>
            <w:r w:rsidDel="00000000" w:rsidR="00000000" w:rsidRPr="00000000">
              <w:rPr>
                <w:sz w:val="14"/>
                <w:szCs w:val="14"/>
                <w:rtl w:val="0"/>
              </w:rPr>
              <w:t xml:space="preserve">object</w:t>
            </w:r>
          </w:p>
        </w:tc>
        <w:tc>
          <w:tcPr/>
          <w:p w:rsidR="00000000" w:rsidDel="00000000" w:rsidP="00000000" w:rsidRDefault="00000000" w:rsidRPr="00000000" w14:paraId="000000CB">
            <w:pPr>
              <w:widowControl w:val="0"/>
              <w:spacing w:line="240" w:lineRule="auto"/>
              <w:rPr>
                <w:color w:val="3c4043"/>
                <w:sz w:val="14"/>
                <w:szCs w:val="14"/>
                <w:highlight w:val="white"/>
              </w:rPr>
            </w:pPr>
            <w:r w:rsidDel="00000000" w:rsidR="00000000" w:rsidRPr="00000000">
              <w:rPr>
                <w:color w:val="3c4043"/>
                <w:sz w:val="14"/>
                <w:szCs w:val="14"/>
                <w:highlight w:val="white"/>
                <w:rtl w:val="0"/>
              </w:rPr>
              <w:t xml:space="preserve">Most received token for account via ERC20 transactions</w:t>
            </w:r>
          </w:p>
        </w:tc>
      </w:tr>
    </w:tbl>
    <w:p w:rsidR="00000000" w:rsidDel="00000000" w:rsidP="00000000" w:rsidRDefault="00000000" w:rsidRPr="00000000" w14:paraId="000000CC">
      <w:pPr>
        <w:spacing w:line="360" w:lineRule="auto"/>
        <w:jc w:val="center"/>
        <w:rPr>
          <w:b w:val="1"/>
          <w:sz w:val="24"/>
          <w:szCs w:val="24"/>
        </w:rPr>
      </w:pPr>
      <w:r w:rsidDel="00000000" w:rsidR="00000000" w:rsidRPr="00000000">
        <w:rPr>
          <w:b w:val="1"/>
          <w:sz w:val="24"/>
          <w:szCs w:val="24"/>
          <w:rtl w:val="0"/>
        </w:rPr>
        <w:t xml:space="preserve">Figure 1.2 Data types and Description</w:t>
      </w:r>
    </w:p>
    <w:p w:rsidR="00000000" w:rsidDel="00000000" w:rsidP="00000000" w:rsidRDefault="00000000" w:rsidRPr="00000000" w14:paraId="000000CD">
      <w:pPr>
        <w:spacing w:line="360" w:lineRule="auto"/>
        <w:rPr>
          <w:b w:val="1"/>
          <w:sz w:val="24"/>
          <w:szCs w:val="24"/>
        </w:rPr>
      </w:pPr>
      <w:r w:rsidDel="00000000" w:rsidR="00000000" w:rsidRPr="00000000">
        <w:rPr>
          <w:b w:val="1"/>
          <w:sz w:val="24"/>
          <w:szCs w:val="24"/>
          <w:rtl w:val="0"/>
        </w:rPr>
        <w:tab/>
        <w:tab/>
        <w:t xml:space="preserve"> </w:t>
        <w:tab/>
        <w:t xml:space="preserve"> </w:t>
        <w:tab/>
        <w:t xml:space="preserve"> </w:t>
        <w:tab/>
        <w:tab/>
      </w:r>
    </w:p>
    <w:p w:rsidR="00000000" w:rsidDel="00000000" w:rsidP="00000000" w:rsidRDefault="00000000" w:rsidRPr="00000000" w14:paraId="000000CE">
      <w:pPr>
        <w:spacing w:line="360" w:lineRule="auto"/>
        <w:rPr/>
      </w:pPr>
      <w:r w:rsidDel="00000000" w:rsidR="00000000" w:rsidRPr="00000000">
        <w:rPr>
          <w:b w:val="1"/>
          <w:sz w:val="24"/>
          <w:szCs w:val="24"/>
          <w:rtl w:val="0"/>
        </w:rPr>
        <w:tab/>
        <w:tab/>
        <w:tab/>
      </w:r>
      <w:r w:rsidDel="00000000" w:rsidR="00000000" w:rsidRPr="00000000">
        <w:rPr>
          <w:rtl w:val="0"/>
        </w:rPr>
      </w:r>
    </w:p>
    <w:p w:rsidR="00000000" w:rsidDel="00000000" w:rsidP="00000000" w:rsidRDefault="00000000" w:rsidRPr="00000000" w14:paraId="000000CF">
      <w:pPr>
        <w:shd w:fill="ffffff" w:val="clear"/>
        <w:spacing w:line="360" w:lineRule="auto"/>
        <w:rPr>
          <w:b w:val="1"/>
          <w:sz w:val="24"/>
          <w:szCs w:val="24"/>
        </w:rPr>
      </w:pPr>
      <w:r w:rsidDel="00000000" w:rsidR="00000000" w:rsidRPr="00000000">
        <w:rPr>
          <w:b w:val="1"/>
          <w:sz w:val="24"/>
          <w:szCs w:val="24"/>
          <w:rtl w:val="0"/>
        </w:rPr>
        <w:tab/>
        <w:tab/>
        <w:tab/>
        <w:tab/>
        <w:t xml:space="preserve"> </w:t>
        <w:tab/>
        <w:tab/>
        <w:tab/>
      </w:r>
    </w:p>
    <w:p w:rsidR="00000000" w:rsidDel="00000000" w:rsidP="00000000" w:rsidRDefault="00000000" w:rsidRPr="00000000" w14:paraId="000000D0">
      <w:pPr>
        <w:spacing w:line="360" w:lineRule="auto"/>
        <w:rPr>
          <w:b w:val="1"/>
        </w:rPr>
      </w:pPr>
      <w:r w:rsidDel="00000000" w:rsidR="00000000" w:rsidRPr="00000000">
        <w:rPr>
          <w:b w:val="1"/>
          <w:sz w:val="24"/>
          <w:szCs w:val="24"/>
          <w:rtl w:val="0"/>
        </w:rPr>
        <w:tab/>
        <w:tab/>
      </w:r>
      <w:r w:rsidDel="00000000" w:rsidR="00000000" w:rsidRPr="00000000">
        <w:rPr>
          <w:rtl w:val="0"/>
        </w:rPr>
      </w:r>
    </w:p>
    <w:p w:rsidR="00000000" w:rsidDel="00000000" w:rsidP="00000000" w:rsidRDefault="00000000" w:rsidRPr="00000000" w14:paraId="000000D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2">
      <w:pPr>
        <w:spacing w:line="360" w:lineRule="auto"/>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k Ho" w:id="2" w:date="2023-11-01T07:18:56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https://www.cnbc.com/2022/11/12/1-billion-to-2-billion-of-ftx-customer-funds-missing-report.html</w:t>
      </w:r>
    </w:p>
  </w:comment>
  <w:comment w:author="Jack Ho" w:id="4" w:date="2023-11-01T07:48:32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according to what we plan to use</w:t>
      </w:r>
    </w:p>
  </w:comment>
  <w:comment w:author="Jack Ho" w:id="1" w:date="2023-11-01T07:18:39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https://www.cnbc.com/2022/06/03/crypto-scams-cost-people-more-than-1-billion-since-2021-ftc.html</w:t>
      </w:r>
    </w:p>
  </w:comment>
  <w:comment w:author="Jack Ho" w:id="3" w:date="2023-11-01T07:47:48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https://cointelegraph.com/news/5-smart-contract-vulnerabilities</w:t>
      </w:r>
    </w:p>
  </w:comment>
  <w:comment w:author="Jack Ho" w:id="0" w:date="2023-11-01T07:18:24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https://time.com/personal-finance/article/popular-crypto-scams/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kaggle.com/datasets/vagifa/ethereum-frauddetection-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