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7324D"/>
          <w:sz w:val="46"/>
        </w:rPr>
        <w:t>BACKTEST PARAMETER COMPARISON</w:t>
      </w:r>
    </w:p>
    <w:p>
      <w:pPr>
        <w:spacing w:after="280"/>
      </w:pPr>
      <w:r>
        <w:rPr>
          <w:color w:val="667085"/>
          <w:sz w:val="26"/>
        </w:rPr>
        <w:t>Screening yield, confirmation coverage, and parameter sensitivity</w:t>
      </w:r>
    </w:p>
    <w:p>
      <w:r>
        <w:rPr>
          <w:b/>
        </w:rPr>
        <w:t xml:space="preserve">Evaluation window: </w:t>
      </w:r>
      <w:r>
        <w:t xml:space="preserve">2022-03-01 to 2026-04-30  |  </w:t>
      </w:r>
      <w:r>
        <w:rPr>
          <w:b/>
        </w:rPr>
        <w:t xml:space="preserve">Parameter sets: </w:t>
      </w:r>
      <w:r>
        <w:t xml:space="preserve">192  |  </w:t>
      </w:r>
      <w:r>
        <w:rPr>
          <w:b/>
        </w:rPr>
        <w:t xml:space="preserve">Compact outcomes: </w:t>
      </w:r>
      <w:r>
        <w:t>324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EE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7324D"/>
              </w:rPr>
              <w:t>Key conclusion: volume-ratio threshold is the dominant driver of screening yield. The broadest configuration selected 14 A-F and 1 A-H securities, while stricter volume settings reduced the candidate pool rapidly. This report compares screening coverage, not realized investment-return quality.</w:t>
            </w:r>
          </w:p>
        </w:tc>
      </w:tr>
    </w:tbl>
    <w:p>
      <w:pPr>
        <w:pStyle w:val="Heading1"/>
      </w:pPr>
      <w:r>
        <w:t>Parameter Choice Reference</w:t>
      </w:r>
    </w:p>
    <w:p>
      <w:pPr>
        <w:pStyle w:val="ListBullet"/>
      </w:pPr>
      <w:r>
        <w:t>Six selectable parameters form the 192-combination grid. Daily and weekly moving-average tolerances remain fixed across every parameter 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5"/>
              </w:rPr>
              <w:t>Parameter</w:t>
            </w:r>
          </w:p>
        </w:tc>
        <w:tc>
          <w:tcPr>
            <w:tcW w:type="dxa" w:w="100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5"/>
              </w:rPr>
              <w:t>Conditions</w:t>
            </w:r>
          </w:p>
        </w:tc>
        <w:tc>
          <w:tcPr>
            <w:tcW w:type="dxa" w:w="172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5"/>
              </w:rPr>
              <w:t>Choices</w:t>
            </w:r>
          </w:p>
        </w:tc>
        <w:tc>
          <w:tcPr>
            <w:tcW w:type="dxa" w:w="115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5"/>
              </w:rPr>
              <w:t>Mode</w:t>
            </w:r>
          </w:p>
        </w:tc>
        <w:tc>
          <w:tcPr>
            <w:tcW w:type="dxa" w:w="36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5"/>
              </w:rPr>
              <w:t>Meaning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Annual growth %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5%, 10%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Selectable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Minimum annual revenue and operating-income growth.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5"/>
              </w:rPr>
              <w:t>Quarterly growth %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5%, 10%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Selectable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Minimum quarterly revenue and operating-income growth.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Annual periods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2, 3 years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Selectable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Number of latest annual periods that must pass.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5"/>
              </w:rPr>
              <w:t>Quarterly periods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2, 3, 4 quarters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Selectable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Number of latest quarterly periods that must pass.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Volume ratio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C / D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2x, 3x, 4x, 5x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Selectable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Required volume-surge multiple.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5"/>
              </w:rPr>
              <w:t>Volume surge days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2, 3 days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Selectable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Minimum surge days in the recent-volume window.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Daily MA tolerance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1%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Fixed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Allowed daily MA20/MA50/MA100 alignment tolerance.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5"/>
              </w:rPr>
              <w:t>Weekly MA tolerance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2%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Fixed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5"/>
              </w:rPr>
              <w:t>Allowed weekly MA5/MA10/MA30 alignment tolerance.</w:t>
            </w:r>
          </w:p>
        </w:tc>
      </w:tr>
    </w:tbl>
    <w:p>
      <w:pPr>
        <w:pStyle w:val="Heading1"/>
      </w:pPr>
      <w:r>
        <w:t>Executive Summary</w:t>
      </w:r>
    </w:p>
    <w:p>
      <w:pPr>
        <w:pStyle w:val="ListBullet"/>
      </w:pPr>
      <w:r>
        <w:t>The run completed successfully across all 192 parameter combinations with no duplicate outcomes, missing core prices, invalid dates, or high/low inconsistencies.</w:t>
      </w:r>
    </w:p>
    <w:p>
      <w:pPr>
        <w:pStyle w:val="ListBullet"/>
      </w:pPr>
      <w:r>
        <w:t>A-F produced 304 parameter-security outcomes across 100 parameter sets and 14 unique securities.</w:t>
      </w:r>
    </w:p>
    <w:p>
      <w:pPr>
        <w:pStyle w:val="ListBullet"/>
      </w:pPr>
      <w:r>
        <w:t>A-H produced 20 outcomes across 20 parameter sets and 1 unique securities; weekly confirmation narrows the candidate universe.</w:t>
      </w:r>
    </w:p>
    <w:p>
      <w:pPr>
        <w:pStyle w:val="ListBullet"/>
      </w:pPr>
      <w:r>
        <w:t>Lower volume-ratio thresholds and shorter fundamental-history requirements produce the largest candidate pools.</w:t>
      </w:r>
    </w:p>
    <w:p>
      <w:pPr>
        <w:pStyle w:val="ListBullet"/>
      </w:pPr>
      <w:r>
        <w:t>Return, median return, win rate, and drawdown ranking are not present in the execution log; those metrics should be queried from `backtest_selection_outcome` before selecting a final strategy.</w:t>
      </w:r>
    </w:p>
    <w:p>
      <w:pPr>
        <w:pStyle w:val="Heading1"/>
      </w:pPr>
      <w:r>
        <w:t>Validated Run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Screen</w:t>
            </w:r>
          </w:p>
        </w:tc>
        <w:tc>
          <w:tcPr>
            <w:tcW w:type="dxa" w:w="1224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Outcomes</w:t>
            </w:r>
          </w:p>
        </w:tc>
        <w:tc>
          <w:tcPr>
            <w:tcW w:type="dxa" w:w="1656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Sets with results</w:t>
            </w:r>
          </w:p>
        </w:tc>
        <w:tc>
          <w:tcPr>
            <w:tcW w:type="dxa" w:w="144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Unique stocks</w:t>
            </w:r>
          </w:p>
        </w:tc>
        <w:tc>
          <w:tcPr>
            <w:tcW w:type="dxa" w:w="151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First signal</w:t>
            </w:r>
          </w:p>
        </w:tc>
        <w:tc>
          <w:tcPr>
            <w:tcW w:type="dxa" w:w="151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Last entry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A-F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304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2022-03-01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2026-04-30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7"/>
              </w:rPr>
              <w:t>A-H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2025-08-05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2025-08-15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72200" cy="4032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32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Figure 1. Average screening yield by parameter choice.</w:t>
      </w:r>
    </w:p>
    <w:p>
      <w:pPr>
        <w:pStyle w:val="Heading1"/>
      </w:pPr>
      <w:r>
        <w:t>Parameter Sensitivity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24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Factor</w:t>
            </w:r>
          </w:p>
        </w:tc>
        <w:tc>
          <w:tcPr>
            <w:tcW w:type="dxa" w:w="1656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Compared values</w:t>
            </w:r>
          </w:p>
        </w:tc>
        <w:tc>
          <w:tcPr>
            <w:tcW w:type="dxa" w:w="208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Avg A-F yield</w:t>
            </w:r>
          </w:p>
        </w:tc>
        <w:tc>
          <w:tcPr>
            <w:tcW w:type="dxa" w:w="208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Avg A-H yield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Annual growth threshold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5 -&gt; 10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2.3 -&gt; 0.9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0.2 -&gt; 0.0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7"/>
              </w:rPr>
              <w:t>Quarterly growth threshold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5 -&gt; 10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2.0 -&gt; 1.2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0.1 -&gt; 0.1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Annual periods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2 -&gt; 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1.9 -&gt; 1.3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0.1 -&gt; 0.1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7"/>
              </w:rPr>
              <w:t>Quarterly periods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2 -&gt; 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2.4 -&gt; 0.8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0.3 -&gt; 0.0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Volume ratio threshold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2 -&gt; 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4.7 -&gt; 0.4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0.2 -&gt; 0.0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7"/>
              </w:rPr>
              <w:t>Volume surge days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2 -&gt; 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1.7 -&gt; 1.5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7"/>
              </w:rPr>
              <w:t>0.1 -&gt; 0.1</w:t>
            </w:r>
          </w:p>
        </w:tc>
      </w:tr>
    </w:tbl>
    <w:p>
      <w:pPr>
        <w:pStyle w:val="Heading2"/>
      </w:pPr>
      <w:r>
        <w:t>Interpretation</w:t>
      </w:r>
    </w:p>
    <w:p>
      <w:pPr>
        <w:pStyle w:val="ListBullet"/>
      </w:pPr>
      <w:r>
        <w:t>Volume ratio: moving from 2 to 5 changes average A-F yield from 4.7 to 0.4 and average A-H yield from 0.2 to 0.0.</w:t>
      </w:r>
    </w:p>
    <w:p>
      <w:pPr>
        <w:pStyle w:val="ListBullet"/>
      </w:pPr>
      <w:r>
        <w:t>Annual-period requirement: moving from 2 to 3 changes average A-F yield from 1.9 to 1.3 and average A-H yield from 0.1 to 0.1.</w:t>
      </w:r>
    </w:p>
    <w:p>
      <w:pPr>
        <w:pStyle w:val="ListBullet"/>
      </w:pPr>
      <w:r>
        <w:t>Quarterly-period requirement: moving from 2 to 4 changes average A-F yield from 2.4 to 0.8 and average A-H yield from 0.3 to 0.0.</w:t>
      </w:r>
    </w:p>
    <w:p>
      <w:pPr>
        <w:pStyle w:val="ListBullet"/>
      </w:pPr>
      <w:r>
        <w:t>Volume-surge-day requirement: moving from 2 to 3 changes average A-F yield from 1.7 to 1.5 and average A-H yield from 0.1 to 0.1.</w:t>
      </w:r>
    </w:p>
    <w:p>
      <w:pPr>
        <w:pStyle w:val="Heading1"/>
      </w:pPr>
      <w:r>
        <w:t>Highest-Coverage Parameter 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64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ID</w:t>
            </w:r>
          </w:p>
        </w:tc>
        <w:tc>
          <w:tcPr>
            <w:tcW w:type="dxa" w:w="1296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Growth A/Q</w:t>
            </w:r>
          </w:p>
        </w:tc>
        <w:tc>
          <w:tcPr>
            <w:tcW w:type="dxa" w:w="144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Periods A/Q</w:t>
            </w:r>
          </w:p>
        </w:tc>
        <w:tc>
          <w:tcPr>
            <w:tcW w:type="dxa" w:w="144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Volume</w:t>
            </w:r>
          </w:p>
        </w:tc>
        <w:tc>
          <w:tcPr>
            <w:tcW w:type="dxa" w:w="79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A-F</w:t>
            </w:r>
          </w:p>
        </w:tc>
        <w:tc>
          <w:tcPr>
            <w:tcW w:type="dxa" w:w="79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A-H</w:t>
            </w:r>
          </w:p>
        </w:tc>
        <w:tc>
          <w:tcPr>
            <w:tcW w:type="dxa" w:w="864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Total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2/2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2x/2d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2/2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2x/3d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9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2/3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2x/2d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25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3/2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2x/2d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26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3/2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2x/3d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49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5/10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2/2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2x/2d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2/3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2x/3d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50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5/10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2/2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2x/3d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33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3/3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2x/2d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34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3/3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2x/3d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</w:tbl>
    <w:p>
      <w:r>
        <w:br w:type="page"/>
      </w:r>
    </w:p>
    <w:p>
      <w:pPr>
        <w:pStyle w:val="Heading1"/>
      </w:pPr>
      <w:r>
        <w:t>Lowest-Coverage Parameter Sets</w:t>
      </w:r>
    </w:p>
    <w:p>
      <w:pPr>
        <w:pStyle w:val="ListBullet"/>
      </w:pPr>
      <w:r>
        <w:t>These configurations produced the fewest combined A-F and A-H selections. Their sparse samples are useful for understanding selectivity, but are too small for reliable return-performance conclusions.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64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ID</w:t>
            </w:r>
          </w:p>
        </w:tc>
        <w:tc>
          <w:tcPr>
            <w:tcW w:type="dxa" w:w="1296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Growth A/Q</w:t>
            </w:r>
          </w:p>
        </w:tc>
        <w:tc>
          <w:tcPr>
            <w:tcW w:type="dxa" w:w="144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Periods A/Q</w:t>
            </w:r>
          </w:p>
        </w:tc>
        <w:tc>
          <w:tcPr>
            <w:tcW w:type="dxa" w:w="144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Volume</w:t>
            </w:r>
          </w:p>
        </w:tc>
        <w:tc>
          <w:tcPr>
            <w:tcW w:type="dxa" w:w="79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A-F</w:t>
            </w:r>
          </w:p>
        </w:tc>
        <w:tc>
          <w:tcPr>
            <w:tcW w:type="dxa" w:w="79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A-H</w:t>
            </w:r>
          </w:p>
        </w:tc>
        <w:tc>
          <w:tcPr>
            <w:tcW w:type="dxa" w:w="864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Total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19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2/4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3x/2d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20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2/4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3x/3d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21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2/4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4x/2d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22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2/4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4x/3d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23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2/4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5x/2d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24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2/4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5x/3d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43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3/4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3x/2d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44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3/4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3x/3d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45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3/4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4x/2d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46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5/5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3/4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4x/3d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pStyle w:val="Heading1"/>
      </w:pPr>
      <w:r>
        <w:t>Recommended Comparison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51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Role</w:t>
            </w:r>
          </w:p>
        </w:tc>
        <w:tc>
          <w:tcPr>
            <w:tcW w:type="dxa" w:w="64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ID</w:t>
            </w:r>
          </w:p>
        </w:tc>
        <w:tc>
          <w:tcPr>
            <w:tcW w:type="dxa" w:w="367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Configuration</w:t>
            </w:r>
          </w:p>
        </w:tc>
        <w:tc>
          <w:tcPr>
            <w:tcW w:type="dxa" w:w="115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A-F / A-H</w:t>
            </w:r>
          </w:p>
        </w:tc>
        <w:tc>
          <w:tcPr>
            <w:tcW w:type="dxa" w:w="223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6"/>
              </w:rPr>
              <w:t>Use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Broad discovery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5%/5%, 2 annual, 2 quarters, 2x volume, 2 surge days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14 / 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Largest sample; suitable baseline.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Moderate volume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5%/5%, 2 annual, 2 quarters, 3x volume, 2 surge days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 / 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Stricter volume comparator.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Strict volume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5%/5%, 2 annual, 2 quarters, 5x volume, 2 surge days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 / 0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High-conviction, smaller-sample comparator.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left"/>
            </w:pPr>
            <w:r>
              <w:rPr>
                <w:sz w:val="16"/>
              </w:rPr>
              <w:t>Durability focus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5%/5%, 3 annual, 4 quarters, 2x volume, 2 surge days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5 / 0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sz w:val="16"/>
              </w:rPr>
              <w:t>Longer fundamental-history comparator.</w:t>
            </w:r>
          </w:p>
        </w:tc>
      </w:tr>
    </w:tbl>
    <w:p>
      <w:pPr>
        <w:pStyle w:val="Heading1"/>
      </w:pPr>
      <w:r>
        <w:t>Decision Guidance</w:t>
      </w:r>
    </w:p>
    <w:p>
      <w:pPr>
        <w:pStyle w:val="ListBullet"/>
      </w:pPr>
      <w:r>
        <w:t>Do not label the highest-coverage parameter set as the best-performing investment strategy. Coverage and return quality answer different questions.</w:t>
      </w:r>
    </w:p>
    <w:p>
      <w:pPr>
        <w:pStyle w:val="ListBullet"/>
      </w:pPr>
      <w:r>
        <w:t>Require a minimum sample size before ranking return performance. A practical initial threshold is at least 20 A-F outcomes or at least 10 A-H outcomes.</w:t>
      </w:r>
    </w:p>
    <w:p>
      <w:pPr>
        <w:pStyle w:val="ListBullet"/>
      </w:pPr>
      <w:r>
        <w:t>Compare mean and median return together. A large gap often indicates that a few extreme winners dominate the average.</w:t>
      </w:r>
    </w:p>
    <w:p>
      <w:pPr>
        <w:pStyle w:val="ListBullet"/>
      </w:pPr>
      <w:r>
        <w:t>Use win rate and maximum drawdown alongside returns; parameter sets with high average returns but severe drawdowns may be unsuitable.</w:t>
      </w:r>
    </w:p>
    <w:p>
      <w:pPr>
        <w:pStyle w:val="ListBullet"/>
      </w:pPr>
      <w:r>
        <w:t>Evaluate A-F and A-H separately. A-H is a stricter weekly-confirmed strategy and should not be pooled with A-F.</w:t>
      </w:r>
    </w:p>
    <w:p>
      <w:pPr>
        <w:pStyle w:val="Heading1"/>
      </w:pPr>
      <w:r>
        <w:t>Required Return-Performance Query</w:t>
      </w:r>
    </w:p>
    <w:p>
      <w:r>
        <w:t>To complete an investment-performance ranking, export the following aggregate query from Supabase and use it for a second report:</w:t>
      </w:r>
    </w:p>
    <w:p>
      <w:pPr>
        <w:shd w:fill="F2F4F7"/>
      </w:pPr>
      <w:r>
        <w:rPr>
          <w:rFonts w:ascii="Courier New" w:hAnsi="Courier New"/>
          <w:sz w:val="15"/>
        </w:rPr>
        <w:t>SELECT p.parameter_set_id, p.parameter_set_name, o.screen_type, COUNT(*) AS sample_size,</w:t>
        <w:br/>
        <w:t>ROUND(AVG(o.return_pct), 2) AS avg_return_pct,</w:t>
        <w:br/>
        <w:t>ROUND(PERCENTILE_CONT(0.5) WITHIN GROUP (ORDER BY o.return_pct)::numeric, 2) AS median_return_pct,</w:t>
        <w:br/>
        <w:t>ROUND(100.0 * COUNT(*) FILTER (WHERE o.return_pct &gt; 0) / COUNT(*), 2) AS win_rate_pct,</w:t>
        <w:br/>
        <w:t>ROUND(AVG(o.max_drawdown_pct), 2) AS avg_drawdown_pct,</w:t>
        <w:br/>
        <w:t>ROUND(AVG(o.max_return_pct), 2) AS avg_max_return_pct</w:t>
        <w:br/>
        <w:t>FROM backtest_parameter_set p JOIN backtest_selection_outcome o USING (parameter_set_id)</w:t>
        <w:br/>
        <w:t>GROUP BY p.parameter_set_id, p.parameter_set_name, o.screen_type</w:t>
        <w:br/>
        <w:t>ORDER BY o.screen_type, sample_size DESC;</w:t>
      </w:r>
    </w:p>
    <w:p>
      <w:pPr>
        <w:pStyle w:val="Heading1"/>
      </w:pPr>
      <w:r>
        <w:t>Scope and Limitations</w:t>
      </w:r>
    </w:p>
    <w:p>
      <w:pPr>
        <w:pStyle w:val="ListBullet"/>
      </w:pPr>
      <w:r>
        <w:t>This report uses the validated execution log and compares selection yield, not realized portfolio returns.</w:t>
      </w:r>
    </w:p>
    <w:p>
      <w:pPr>
        <w:pStyle w:val="ListBullet"/>
      </w:pPr>
      <w:r>
        <w:t>The same security may appear in many parameter sets, so outcome rows are not independent observations.</w:t>
      </w:r>
    </w:p>
    <w:p>
      <w:pPr>
        <w:pStyle w:val="ListBullet"/>
      </w:pPr>
      <w:r>
        <w:t>Fundamental histories use `datadate &lt;= signal_date`; actual public filing-availability dates are unavailable, so some look-ahead-bias risk remains.</w:t>
      </w:r>
    </w:p>
    <w:p>
      <w:pPr>
        <w:pStyle w:val="ListBullet"/>
      </w:pPr>
      <w:r>
        <w:t>No transaction costs, liquidity constraints, holding rules, or overlapping-position controls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>Generated June 11,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7"/>
      </w:rPr>
      <w:t>NASDAQ Stock Recommendation | Backtest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