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2545"/>
          <w:sz w:val="44"/>
        </w:rPr>
        <w:t>PARAMETER SET SELECTION INSIGHT</w:t>
      </w:r>
    </w:p>
    <w:p>
      <w:r>
        <w:rPr>
          <w:color w:val="5C6B80"/>
        </w:rPr>
        <w:t>Decision synthesis from the corrected timing flow, screening-yield comparison, and fixed-horizon performance comparison</w:t>
      </w:r>
    </w:p>
    <w:tbl>
      <w:tblPr>
        <w:tblW w:type="auto" w:w="0"/>
        <w:jc w:val="center"/>
        <w:tblLook w:firstColumn="1" w:firstRow="1" w:lastColumn="0" w:lastRow="0" w:noHBand="0" w:noVBand="1" w:val="04A0"/>
      </w:tblPr>
      <w:tblGrid>
        <w:gridCol w:w="9792"/>
      </w:tblGrid>
      <w:tr>
        <w:tc>
          <w:tcPr>
            <w:tcW w:type="dxa" w:w="9792"/>
            <w:shd w:fill="E8F3EC"/>
            <w:tcMar>
              <w:top w:w="150" w:type="dxa"/>
              <w:start w:w="180" w:type="dxa"/>
              <w:bottom w:w="150" w:type="dxa"/>
              <w:end w:w="180" w:type="dxa"/>
            </w:tcMar>
          </w:tcPr>
          <w:p>
            <w:r>
              <w:rPr>
                <w:b/>
                <w:color w:val="0B2545"/>
              </w:rPr>
              <w:t xml:space="preserve">Recommended default: </w:t>
            </w:r>
            <w:r>
              <w:t>Use parameter set 17 (ag2_qg2_ay2_qc4_vr2_vd2) as the primary balanced configuration. It combines strong cross-horizon returns, favorable median returns and win rates, and adequate completed-sample coverage in both A-F and A-H.</w:t>
            </w:r>
          </w:p>
        </w:tc>
      </w:tr>
    </w:tbl>
    <w:p>
      <w:pPr>
        <w:spacing w:after="20"/>
      </w:pPr>
    </w:p>
    <w:p>
      <w:pPr>
        <w:pStyle w:val="Heading1"/>
      </w:pPr>
      <w:r>
        <w:t>Decision Summary</w:t>
      </w:r>
    </w:p>
    <w:tbl>
      <w:tblPr>
        <w:tblW w:type="auto" w:w="0"/>
        <w:jc w:val="center"/>
        <w:tblLayout w:type="fixed"/>
        <w:tblLook w:firstColumn="1" w:firstRow="1" w:lastColumn="0" w:lastRow="0" w:noHBand="0" w:noVBand="1" w:val="04A0"/>
      </w:tblPr>
      <w:tblGrid>
        <w:gridCol w:w="2448"/>
        <w:gridCol w:w="2448"/>
        <w:gridCol w:w="2448"/>
        <w:gridCol w:w="2448"/>
      </w:tblGrid>
      <w:tr>
        <w:trPr>
          <w:tblHeader/>
        </w:trPr>
        <w:tc>
          <w:tcPr>
            <w:tcW w:type="dxa" w:w="1800"/>
            <w:shd w:fill="E8EEF5"/>
            <w:tcMar>
              <w:top w:w="100" w:type="dxa"/>
              <w:start w:w="140" w:type="dxa"/>
              <w:bottom w:w="100" w:type="dxa"/>
              <w:end w:w="140" w:type="dxa"/>
            </w:tcMar>
          </w:tcPr>
          <w:p>
            <w:pPr>
              <w:jc w:val="left"/>
            </w:pPr>
            <w:r>
              <w:rPr>
                <w:b/>
                <w:color w:val="0B2545"/>
                <w:sz w:val="18"/>
              </w:rPr>
              <w:t>Role</w:t>
            </w:r>
          </w:p>
        </w:tc>
        <w:tc>
          <w:tcPr>
            <w:tcW w:type="dxa" w:w="1080"/>
            <w:shd w:fill="E8EEF5"/>
            <w:tcMar>
              <w:top w:w="100" w:type="dxa"/>
              <w:start w:w="140" w:type="dxa"/>
              <w:bottom w:w="100" w:type="dxa"/>
              <w:end w:w="140" w:type="dxa"/>
            </w:tcMar>
          </w:tcPr>
          <w:p>
            <w:pPr>
              <w:jc w:val="center"/>
            </w:pPr>
            <w:r>
              <w:rPr>
                <w:b/>
                <w:color w:val="0B2545"/>
                <w:sz w:val="18"/>
              </w:rPr>
              <w:t>Parameter set</w:t>
            </w:r>
          </w:p>
        </w:tc>
        <w:tc>
          <w:tcPr>
            <w:tcW w:type="dxa" w:w="3528"/>
            <w:shd w:fill="E8EEF5"/>
            <w:tcMar>
              <w:top w:w="100" w:type="dxa"/>
              <w:start w:w="140" w:type="dxa"/>
              <w:bottom w:w="100" w:type="dxa"/>
              <w:end w:w="140" w:type="dxa"/>
            </w:tcMar>
          </w:tcPr>
          <w:p>
            <w:pPr>
              <w:jc w:val="center"/>
            </w:pPr>
            <w:r>
              <w:rPr>
                <w:b/>
                <w:color w:val="0B2545"/>
                <w:sz w:val="18"/>
              </w:rPr>
              <w:t>Configuration</w:t>
            </w:r>
          </w:p>
        </w:tc>
        <w:tc>
          <w:tcPr>
            <w:tcW w:type="dxa" w:w="3096"/>
            <w:shd w:fill="E8EEF5"/>
            <w:tcMar>
              <w:top w:w="100" w:type="dxa"/>
              <w:start w:w="140" w:type="dxa"/>
              <w:bottom w:w="100" w:type="dxa"/>
              <w:end w:w="140" w:type="dxa"/>
            </w:tcMar>
          </w:tcPr>
          <w:p>
            <w:pPr>
              <w:jc w:val="center"/>
            </w:pPr>
            <w:r>
              <w:rPr>
                <w:b/>
                <w:color w:val="0B2545"/>
                <w:sz w:val="18"/>
              </w:rPr>
              <w:t>Why it belongs</w:t>
            </w:r>
          </w:p>
        </w:tc>
      </w:tr>
      <w:tr>
        <w:trPr>
          <w:cantSplit/>
        </w:trPr>
        <w:tc>
          <w:tcPr>
            <w:tcW w:type="dxa" w:w="1800"/>
            <w:vAlign w:val="center"/>
            <w:tcMar>
              <w:top w:w="100" w:type="dxa"/>
              <w:start w:w="140" w:type="dxa"/>
              <w:bottom w:w="100" w:type="dxa"/>
              <w:end w:w="140" w:type="dxa"/>
            </w:tcMar>
          </w:tcPr>
          <w:p>
            <w:pPr>
              <w:jc w:val="left"/>
            </w:pPr>
            <w:r>
              <w:rPr>
                <w:sz w:val="17"/>
              </w:rPr>
              <w:t>Primary balanced default</w:t>
            </w:r>
          </w:p>
        </w:tc>
        <w:tc>
          <w:tcPr>
            <w:tcW w:type="dxa" w:w="1080"/>
            <w:vAlign w:val="center"/>
            <w:tcMar>
              <w:top w:w="100" w:type="dxa"/>
              <w:start w:w="140" w:type="dxa"/>
              <w:bottom w:w="100" w:type="dxa"/>
              <w:end w:w="140" w:type="dxa"/>
            </w:tcMar>
          </w:tcPr>
          <w:p>
            <w:pPr>
              <w:jc w:val="center"/>
            </w:pPr>
            <w:r>
              <w:rPr>
                <w:sz w:val="17"/>
              </w:rPr>
              <w:t>17</w:t>
            </w:r>
          </w:p>
        </w:tc>
        <w:tc>
          <w:tcPr>
            <w:tcW w:type="dxa" w:w="3528"/>
            <w:vAlign w:val="center"/>
            <w:tcMar>
              <w:top w:w="100" w:type="dxa"/>
              <w:start w:w="140" w:type="dxa"/>
              <w:bottom w:w="100" w:type="dxa"/>
              <w:end w:w="140" w:type="dxa"/>
            </w:tcMar>
          </w:tcPr>
          <w:p>
            <w:pPr>
              <w:jc w:val="center"/>
            </w:pPr>
            <w:r>
              <w:rPr>
                <w:sz w:val="17"/>
              </w:rPr>
              <w:t>A/Q growth 2%/2%; 2 annual years; 4 quarters; 2x volume; 2 surge days</w:t>
            </w:r>
          </w:p>
        </w:tc>
        <w:tc>
          <w:tcPr>
            <w:tcW w:type="dxa" w:w="3096"/>
            <w:vAlign w:val="center"/>
            <w:tcMar>
              <w:top w:w="100" w:type="dxa"/>
              <w:start w:w="140" w:type="dxa"/>
              <w:bottom w:w="100" w:type="dxa"/>
              <w:end w:w="140" w:type="dxa"/>
            </w:tcMar>
          </w:tcPr>
          <w:p>
            <w:pPr>
              <w:jc w:val="center"/>
            </w:pPr>
            <w:r>
              <w:rPr>
                <w:sz w:val="17"/>
              </w:rPr>
              <w:t>Best overall quality consistency across means, medians, win rates, horizons, and screens.</w:t>
            </w:r>
          </w:p>
        </w:tc>
      </w:tr>
      <w:tr>
        <w:trPr>
          <w:cantSplit/>
        </w:trPr>
        <w:tc>
          <w:tcPr>
            <w:tcW w:type="dxa" w:w="1800"/>
            <w:vAlign w:val="center"/>
            <w:tcMar>
              <w:top w:w="100" w:type="dxa"/>
              <w:start w:w="140" w:type="dxa"/>
              <w:bottom w:w="100" w:type="dxa"/>
              <w:end w:w="140" w:type="dxa"/>
            </w:tcMar>
            <w:shd w:fill="F2F4F7"/>
          </w:tcPr>
          <w:p>
            <w:pPr>
              <w:jc w:val="left"/>
            </w:pPr>
            <w:r>
              <w:rPr>
                <w:sz w:val="17"/>
              </w:rPr>
              <w:t>Return-ranked challenger</w:t>
            </w:r>
          </w:p>
        </w:tc>
        <w:tc>
          <w:tcPr>
            <w:tcW w:type="dxa" w:w="1080"/>
            <w:vAlign w:val="center"/>
            <w:tcMar>
              <w:top w:w="100" w:type="dxa"/>
              <w:start w:w="140" w:type="dxa"/>
              <w:bottom w:w="100" w:type="dxa"/>
              <w:end w:w="140" w:type="dxa"/>
            </w:tcMar>
            <w:shd w:fill="F2F4F7"/>
          </w:tcPr>
          <w:p>
            <w:pPr>
              <w:jc w:val="center"/>
            </w:pPr>
            <w:r>
              <w:rPr>
                <w:sz w:val="17"/>
              </w:rPr>
              <w:t>113</w:t>
            </w:r>
          </w:p>
        </w:tc>
        <w:tc>
          <w:tcPr>
            <w:tcW w:type="dxa" w:w="3528"/>
            <w:vAlign w:val="center"/>
            <w:tcMar>
              <w:top w:w="100" w:type="dxa"/>
              <w:start w:w="140" w:type="dxa"/>
              <w:bottom w:w="100" w:type="dxa"/>
              <w:end w:w="140" w:type="dxa"/>
            </w:tcMar>
            <w:shd w:fill="F2F4F7"/>
          </w:tcPr>
          <w:p>
            <w:pPr>
              <w:jc w:val="center"/>
            </w:pPr>
            <w:r>
              <w:rPr>
                <w:sz w:val="17"/>
              </w:rPr>
              <w:t>A/Q growth 3%/2%; 2 annual years; 4 quarters; 2x volume; 2 surge days</w:t>
            </w:r>
          </w:p>
        </w:tc>
        <w:tc>
          <w:tcPr>
            <w:tcW w:type="dxa" w:w="3096"/>
            <w:vAlign w:val="center"/>
            <w:tcMar>
              <w:top w:w="100" w:type="dxa"/>
              <w:start w:w="140" w:type="dxa"/>
              <w:bottom w:w="100" w:type="dxa"/>
              <w:end w:w="140" w:type="dxa"/>
            </w:tcMar>
            <w:shd w:fill="F2F4F7"/>
          </w:tcPr>
          <w:p>
            <w:pPr>
              <w:jc w:val="center"/>
            </w:pPr>
            <w:r>
              <w:rPr>
                <w:sz w:val="17"/>
              </w:rPr>
              <w:t>Best A-F combined average-return rank and strong A-H results, with slightly less coverage.</w:t>
            </w:r>
          </w:p>
        </w:tc>
      </w:tr>
      <w:tr>
        <w:trPr>
          <w:cantSplit/>
        </w:trPr>
        <w:tc>
          <w:tcPr>
            <w:tcW w:type="dxa" w:w="1800"/>
            <w:vAlign w:val="center"/>
            <w:tcMar>
              <w:top w:w="100" w:type="dxa"/>
              <w:start w:w="140" w:type="dxa"/>
              <w:bottom w:w="100" w:type="dxa"/>
              <w:end w:w="140" w:type="dxa"/>
            </w:tcMar>
          </w:tcPr>
          <w:p>
            <w:pPr>
              <w:jc w:val="left"/>
            </w:pPr>
            <w:r>
              <w:rPr>
                <w:sz w:val="17"/>
              </w:rPr>
              <w:t>Broad discovery baseline</w:t>
            </w:r>
          </w:p>
        </w:tc>
        <w:tc>
          <w:tcPr>
            <w:tcW w:type="dxa" w:w="1080"/>
            <w:vAlign w:val="center"/>
            <w:tcMar>
              <w:top w:w="100" w:type="dxa"/>
              <w:start w:w="140" w:type="dxa"/>
              <w:bottom w:w="100" w:type="dxa"/>
              <w:end w:w="140" w:type="dxa"/>
            </w:tcMar>
          </w:tcPr>
          <w:p>
            <w:pPr>
              <w:jc w:val="center"/>
            </w:pPr>
            <w:r>
              <w:rPr>
                <w:sz w:val="17"/>
              </w:rPr>
              <w:t>1</w:t>
            </w:r>
          </w:p>
        </w:tc>
        <w:tc>
          <w:tcPr>
            <w:tcW w:type="dxa" w:w="3528"/>
            <w:vAlign w:val="center"/>
            <w:tcMar>
              <w:top w:w="100" w:type="dxa"/>
              <w:start w:w="140" w:type="dxa"/>
              <w:bottom w:w="100" w:type="dxa"/>
              <w:end w:w="140" w:type="dxa"/>
            </w:tcMar>
          </w:tcPr>
          <w:p>
            <w:pPr>
              <w:jc w:val="center"/>
            </w:pPr>
            <w:r>
              <w:rPr>
                <w:sz w:val="17"/>
              </w:rPr>
              <w:t>A/Q growth 2%/2%; 2 annual years; 2 quarters; 2x volume; 2 surge days</w:t>
            </w:r>
          </w:p>
        </w:tc>
        <w:tc>
          <w:tcPr>
            <w:tcW w:type="dxa" w:w="3096"/>
            <w:vAlign w:val="center"/>
            <w:tcMar>
              <w:top w:w="100" w:type="dxa"/>
              <w:start w:w="140" w:type="dxa"/>
              <w:bottom w:w="100" w:type="dxa"/>
              <w:end w:w="140" w:type="dxa"/>
            </w:tcMar>
          </w:tcPr>
          <w:p>
            <w:pPr>
              <w:jc w:val="center"/>
            </w:pPr>
            <w:r>
              <w:rPr>
                <w:sz w:val="17"/>
              </w:rPr>
              <w:t>Largest useful candidate pool and strongest coverage; weaker short-term selectivity.</w:t>
            </w:r>
          </w:p>
        </w:tc>
      </w:tr>
    </w:tbl>
    <w:p>
      <w:pPr>
        <w:spacing w:after="20"/>
      </w:pPr>
    </w:p>
    <w:p>
      <w:pPr>
        <w:pStyle w:val="Heading1"/>
      </w:pPr>
      <w:r>
        <w:t>Why Set 17 Is The Best Default</w:t>
      </w:r>
    </w:p>
    <w:p>
      <w:pPr>
        <w:pStyle w:val="ListBullet"/>
      </w:pPr>
      <w:r>
        <w:t>It ranks first on the report's broader quality assessment for both A-F and A-H when average returns, median returns, and win rates are considered together.</w:t>
      </w:r>
    </w:p>
    <w:p>
      <w:pPr>
        <w:pStyle w:val="ListBullet"/>
      </w:pPr>
      <w:r>
        <w:t>Its completed samples remain meaningful: A-F has 56/53/43 observations at 6 months/1 year/2 years, while A-H has 29/28/22.</w:t>
      </w:r>
    </w:p>
    <w:p>
      <w:pPr>
        <w:pStyle w:val="ListBullet"/>
      </w:pPr>
      <w:r>
        <w:t>Its four-quarter requirement improves durability without using the stricter three-year annual-history requirement that sharply reduces screening yield.</w:t>
      </w:r>
    </w:p>
    <w:p>
      <w:pPr>
        <w:pStyle w:val="ListBullet"/>
      </w:pPr>
      <w:r>
        <w:t>Its 2x volume threshold avoids the severe sample collapse observed at 3x-5x thresholds.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1008"/>
            <w:shd w:fill="E8EEF5"/>
            <w:tcMar>
              <w:top w:w="100" w:type="dxa"/>
              <w:start w:w="140" w:type="dxa"/>
              <w:bottom w:w="100" w:type="dxa"/>
              <w:end w:w="140" w:type="dxa"/>
            </w:tcMar>
          </w:tcPr>
          <w:p>
            <w:pPr>
              <w:jc w:val="left"/>
            </w:pPr>
            <w:r>
              <w:rPr>
                <w:b/>
                <w:color w:val="0B2545"/>
                <w:sz w:val="18"/>
              </w:rPr>
              <w:t>Screen</w:t>
            </w:r>
          </w:p>
        </w:tc>
        <w:tc>
          <w:tcPr>
            <w:tcW w:type="dxa" w:w="1440"/>
            <w:shd w:fill="E8EEF5"/>
            <w:tcMar>
              <w:top w:w="100" w:type="dxa"/>
              <w:start w:w="140" w:type="dxa"/>
              <w:bottom w:w="100" w:type="dxa"/>
              <w:end w:w="140" w:type="dxa"/>
            </w:tcMar>
          </w:tcPr>
          <w:p>
            <w:pPr>
              <w:jc w:val="center"/>
            </w:pPr>
            <w:r>
              <w:rPr>
                <w:b/>
                <w:color w:val="0B2545"/>
                <w:sz w:val="18"/>
              </w:rPr>
              <w:t>N 6m/1y/2y</w:t>
            </w:r>
          </w:p>
        </w:tc>
        <w:tc>
          <w:tcPr>
            <w:tcW w:type="dxa" w:w="2448"/>
            <w:shd w:fill="E8EEF5"/>
            <w:tcMar>
              <w:top w:w="100" w:type="dxa"/>
              <w:start w:w="140" w:type="dxa"/>
              <w:bottom w:w="100" w:type="dxa"/>
              <w:end w:w="140" w:type="dxa"/>
            </w:tcMar>
          </w:tcPr>
          <w:p>
            <w:pPr>
              <w:jc w:val="center"/>
            </w:pPr>
            <w:r>
              <w:rPr>
                <w:b/>
                <w:color w:val="0B2545"/>
                <w:sz w:val="18"/>
              </w:rPr>
              <w:t>Average return 6m/1y/2y</w:t>
            </w:r>
          </w:p>
        </w:tc>
        <w:tc>
          <w:tcPr>
            <w:tcW w:type="dxa" w:w="2448"/>
            <w:shd w:fill="E8EEF5"/>
            <w:tcMar>
              <w:top w:w="100" w:type="dxa"/>
              <w:start w:w="140" w:type="dxa"/>
              <w:bottom w:w="100" w:type="dxa"/>
              <w:end w:w="140" w:type="dxa"/>
            </w:tcMar>
          </w:tcPr>
          <w:p>
            <w:pPr>
              <w:jc w:val="center"/>
            </w:pPr>
            <w:r>
              <w:rPr>
                <w:b/>
                <w:color w:val="0B2545"/>
                <w:sz w:val="18"/>
              </w:rPr>
              <w:t>Median return 6m/1y/2y</w:t>
            </w:r>
          </w:p>
        </w:tc>
        <w:tc>
          <w:tcPr>
            <w:tcW w:type="dxa" w:w="2160"/>
            <w:shd w:fill="E8EEF5"/>
            <w:tcMar>
              <w:top w:w="100" w:type="dxa"/>
              <w:start w:w="140" w:type="dxa"/>
              <w:bottom w:w="100" w:type="dxa"/>
              <w:end w:w="140" w:type="dxa"/>
            </w:tcMar>
          </w:tcPr>
          <w:p>
            <w:pPr>
              <w:jc w:val="center"/>
            </w:pPr>
            <w:r>
              <w:rPr>
                <w:b/>
                <w:color w:val="0B2545"/>
                <w:sz w:val="18"/>
              </w:rPr>
              <w:t>Win rate 6m/1y/2y</w:t>
            </w:r>
          </w:p>
        </w:tc>
      </w:tr>
      <w:tr>
        <w:trPr>
          <w:cantSplit/>
        </w:trPr>
        <w:tc>
          <w:tcPr>
            <w:tcW w:type="dxa" w:w="1008"/>
            <w:vAlign w:val="center"/>
            <w:tcMar>
              <w:top w:w="100" w:type="dxa"/>
              <w:start w:w="140" w:type="dxa"/>
              <w:bottom w:w="100" w:type="dxa"/>
              <w:end w:w="140" w:type="dxa"/>
            </w:tcMar>
          </w:tcPr>
          <w:p>
            <w:pPr>
              <w:jc w:val="left"/>
            </w:pPr>
            <w:r>
              <w:rPr>
                <w:sz w:val="17"/>
              </w:rPr>
              <w:t>A-F</w:t>
            </w:r>
          </w:p>
        </w:tc>
        <w:tc>
          <w:tcPr>
            <w:tcW w:type="dxa" w:w="1440"/>
            <w:vAlign w:val="center"/>
            <w:tcMar>
              <w:top w:w="100" w:type="dxa"/>
              <w:start w:w="140" w:type="dxa"/>
              <w:bottom w:w="100" w:type="dxa"/>
              <w:end w:w="140" w:type="dxa"/>
            </w:tcMar>
          </w:tcPr>
          <w:p>
            <w:pPr>
              <w:jc w:val="center"/>
            </w:pPr>
            <w:r>
              <w:rPr>
                <w:sz w:val="17"/>
              </w:rPr>
              <w:t>56 / 53 / 43</w:t>
            </w:r>
          </w:p>
        </w:tc>
        <w:tc>
          <w:tcPr>
            <w:tcW w:type="dxa" w:w="2448"/>
            <w:vAlign w:val="center"/>
            <w:tcMar>
              <w:top w:w="100" w:type="dxa"/>
              <w:start w:w="140" w:type="dxa"/>
              <w:bottom w:w="100" w:type="dxa"/>
              <w:end w:w="140" w:type="dxa"/>
            </w:tcMar>
          </w:tcPr>
          <w:p>
            <w:pPr>
              <w:jc w:val="center"/>
            </w:pPr>
            <w:r>
              <w:rPr>
                <w:sz w:val="17"/>
              </w:rPr>
              <w:t>2.75% / 8.52% / 9.51%</w:t>
            </w:r>
          </w:p>
        </w:tc>
        <w:tc>
          <w:tcPr>
            <w:tcW w:type="dxa" w:w="2448"/>
            <w:vAlign w:val="center"/>
            <w:tcMar>
              <w:top w:w="100" w:type="dxa"/>
              <w:start w:w="140" w:type="dxa"/>
              <w:bottom w:w="100" w:type="dxa"/>
              <w:end w:w="140" w:type="dxa"/>
            </w:tcMar>
          </w:tcPr>
          <w:p>
            <w:pPr>
              <w:jc w:val="center"/>
            </w:pPr>
            <w:r>
              <w:rPr>
                <w:sz w:val="17"/>
              </w:rPr>
              <w:t>2.60% / 6.96% / 5.89%</w:t>
            </w:r>
          </w:p>
        </w:tc>
        <w:tc>
          <w:tcPr>
            <w:tcW w:type="dxa" w:w="2160"/>
            <w:vAlign w:val="center"/>
            <w:tcMar>
              <w:top w:w="100" w:type="dxa"/>
              <w:start w:w="140" w:type="dxa"/>
              <w:bottom w:w="100" w:type="dxa"/>
              <w:end w:w="140" w:type="dxa"/>
            </w:tcMar>
          </w:tcPr>
          <w:p>
            <w:pPr>
              <w:jc w:val="center"/>
            </w:pPr>
            <w:r>
              <w:rPr>
                <w:sz w:val="17"/>
              </w:rPr>
              <w:t>57.14% / 60.38% / 55.81%</w:t>
            </w:r>
          </w:p>
        </w:tc>
      </w:tr>
      <w:tr>
        <w:trPr>
          <w:cantSplit/>
        </w:trPr>
        <w:tc>
          <w:tcPr>
            <w:tcW w:type="dxa" w:w="1008"/>
            <w:vAlign w:val="center"/>
            <w:tcMar>
              <w:top w:w="100" w:type="dxa"/>
              <w:start w:w="140" w:type="dxa"/>
              <w:bottom w:w="100" w:type="dxa"/>
              <w:end w:w="140" w:type="dxa"/>
            </w:tcMar>
            <w:shd w:fill="F2F4F7"/>
          </w:tcPr>
          <w:p>
            <w:pPr>
              <w:jc w:val="left"/>
            </w:pPr>
            <w:r>
              <w:rPr>
                <w:sz w:val="17"/>
              </w:rPr>
              <w:t>A-H</w:t>
            </w:r>
          </w:p>
        </w:tc>
        <w:tc>
          <w:tcPr>
            <w:tcW w:type="dxa" w:w="1440"/>
            <w:vAlign w:val="center"/>
            <w:tcMar>
              <w:top w:w="100" w:type="dxa"/>
              <w:start w:w="140" w:type="dxa"/>
              <w:bottom w:w="100" w:type="dxa"/>
              <w:end w:w="140" w:type="dxa"/>
            </w:tcMar>
            <w:shd w:fill="F2F4F7"/>
          </w:tcPr>
          <w:p>
            <w:pPr>
              <w:jc w:val="center"/>
            </w:pPr>
            <w:r>
              <w:rPr>
                <w:sz w:val="17"/>
              </w:rPr>
              <w:t>29 / 28 / 22</w:t>
            </w:r>
          </w:p>
        </w:tc>
        <w:tc>
          <w:tcPr>
            <w:tcW w:type="dxa" w:w="2448"/>
            <w:vAlign w:val="center"/>
            <w:tcMar>
              <w:top w:w="100" w:type="dxa"/>
              <w:start w:w="140" w:type="dxa"/>
              <w:bottom w:w="100" w:type="dxa"/>
              <w:end w:w="140" w:type="dxa"/>
            </w:tcMar>
            <w:shd w:fill="F2F4F7"/>
          </w:tcPr>
          <w:p>
            <w:pPr>
              <w:jc w:val="center"/>
            </w:pPr>
            <w:r>
              <w:rPr>
                <w:sz w:val="17"/>
              </w:rPr>
              <w:t>4.98% / 10.43% / 1.56%</w:t>
            </w:r>
          </w:p>
        </w:tc>
        <w:tc>
          <w:tcPr>
            <w:tcW w:type="dxa" w:w="2448"/>
            <w:vAlign w:val="center"/>
            <w:tcMar>
              <w:top w:w="100" w:type="dxa"/>
              <w:start w:w="140" w:type="dxa"/>
              <w:bottom w:w="100" w:type="dxa"/>
              <w:end w:w="140" w:type="dxa"/>
            </w:tcMar>
            <w:shd w:fill="F2F4F7"/>
          </w:tcPr>
          <w:p>
            <w:pPr>
              <w:jc w:val="center"/>
            </w:pPr>
            <w:r>
              <w:rPr>
                <w:sz w:val="17"/>
              </w:rPr>
              <w:t>1.75% / 8.06% / -1.52%</w:t>
            </w:r>
          </w:p>
        </w:tc>
        <w:tc>
          <w:tcPr>
            <w:tcW w:type="dxa" w:w="2160"/>
            <w:vAlign w:val="center"/>
            <w:tcMar>
              <w:top w:w="100" w:type="dxa"/>
              <w:start w:w="140" w:type="dxa"/>
              <w:bottom w:w="100" w:type="dxa"/>
              <w:end w:w="140" w:type="dxa"/>
            </w:tcMar>
            <w:shd w:fill="F2F4F7"/>
          </w:tcPr>
          <w:p>
            <w:pPr>
              <w:jc w:val="center"/>
            </w:pPr>
            <w:r>
              <w:rPr>
                <w:sz w:val="17"/>
              </w:rPr>
              <w:t>55.17% / 75.00% / 50.00%</w:t>
            </w:r>
          </w:p>
        </w:tc>
      </w:tr>
    </w:tbl>
    <w:p>
      <w:pPr>
        <w:spacing w:after="20"/>
      </w:pPr>
    </w:p>
    <w:p>
      <w:pPr>
        <w:pStyle w:val="Heading1"/>
      </w:pPr>
      <w:r>
        <w:t>Set 17 Versus Set 113</w:t>
      </w:r>
    </w:p>
    <w:tbl>
      <w:tblPr>
        <w:tblW w:type="auto" w:w="0"/>
        <w:jc w:val="center"/>
        <w:tblLayout w:type="fixed"/>
        <w:tblLook w:firstColumn="1" w:firstRow="1" w:lastColumn="0" w:lastRow="0" w:noHBand="0" w:noVBand="1" w:val="04A0"/>
      </w:tblPr>
      <w:tblGrid>
        <w:gridCol w:w="2448"/>
        <w:gridCol w:w="2448"/>
        <w:gridCol w:w="2448"/>
        <w:gridCol w:w="2448"/>
      </w:tblGrid>
      <w:tr>
        <w:trPr>
          <w:tblHeader/>
        </w:trPr>
        <w:tc>
          <w:tcPr>
            <w:tcW w:type="dxa" w:w="1800"/>
            <w:shd w:fill="E8EEF5"/>
            <w:tcMar>
              <w:top w:w="100" w:type="dxa"/>
              <w:start w:w="140" w:type="dxa"/>
              <w:bottom w:w="100" w:type="dxa"/>
              <w:end w:w="140" w:type="dxa"/>
            </w:tcMar>
          </w:tcPr>
          <w:p>
            <w:pPr>
              <w:jc w:val="left"/>
            </w:pPr>
            <w:r>
              <w:rPr>
                <w:b/>
                <w:color w:val="0B2545"/>
                <w:sz w:val="18"/>
              </w:rPr>
              <w:t>Question</w:t>
            </w:r>
          </w:p>
        </w:tc>
        <w:tc>
          <w:tcPr>
            <w:tcW w:type="dxa" w:w="2088"/>
            <w:shd w:fill="E8EEF5"/>
            <w:tcMar>
              <w:top w:w="100" w:type="dxa"/>
              <w:start w:w="140" w:type="dxa"/>
              <w:bottom w:w="100" w:type="dxa"/>
              <w:end w:w="140" w:type="dxa"/>
            </w:tcMar>
          </w:tcPr>
          <w:p>
            <w:pPr>
              <w:jc w:val="center"/>
            </w:pPr>
            <w:r>
              <w:rPr>
                <w:b/>
                <w:color w:val="0B2545"/>
                <w:sz w:val="18"/>
              </w:rPr>
              <w:t>Set 17</w:t>
            </w:r>
          </w:p>
        </w:tc>
        <w:tc>
          <w:tcPr>
            <w:tcW w:type="dxa" w:w="2088"/>
            <w:shd w:fill="E8EEF5"/>
            <w:tcMar>
              <w:top w:w="100" w:type="dxa"/>
              <w:start w:w="140" w:type="dxa"/>
              <w:bottom w:w="100" w:type="dxa"/>
              <w:end w:w="140" w:type="dxa"/>
            </w:tcMar>
          </w:tcPr>
          <w:p>
            <w:pPr>
              <w:jc w:val="center"/>
            </w:pPr>
            <w:r>
              <w:rPr>
                <w:b/>
                <w:color w:val="0B2545"/>
                <w:sz w:val="18"/>
              </w:rPr>
              <w:t>Set 113</w:t>
            </w:r>
          </w:p>
        </w:tc>
        <w:tc>
          <w:tcPr>
            <w:tcW w:type="dxa" w:w="3240"/>
            <w:shd w:fill="E8EEF5"/>
            <w:tcMar>
              <w:top w:w="100" w:type="dxa"/>
              <w:start w:w="140" w:type="dxa"/>
              <w:bottom w:w="100" w:type="dxa"/>
              <w:end w:w="140" w:type="dxa"/>
            </w:tcMar>
          </w:tcPr>
          <w:p>
            <w:pPr>
              <w:jc w:val="center"/>
            </w:pPr>
            <w:r>
              <w:rPr>
                <w:b/>
                <w:color w:val="0B2545"/>
                <w:sz w:val="18"/>
              </w:rPr>
              <w:t>Interpretation</w:t>
            </w:r>
          </w:p>
        </w:tc>
      </w:tr>
      <w:tr>
        <w:trPr>
          <w:cantSplit/>
        </w:trPr>
        <w:tc>
          <w:tcPr>
            <w:tcW w:type="dxa" w:w="1800"/>
            <w:vAlign w:val="center"/>
            <w:tcMar>
              <w:top w:w="100" w:type="dxa"/>
              <w:start w:w="140" w:type="dxa"/>
              <w:bottom w:w="100" w:type="dxa"/>
              <w:end w:w="140" w:type="dxa"/>
            </w:tcMar>
          </w:tcPr>
          <w:p>
            <w:pPr>
              <w:jc w:val="left"/>
            </w:pPr>
            <w:r>
              <w:rPr>
                <w:sz w:val="17"/>
              </w:rPr>
              <w:t>Annual growth threshold</w:t>
            </w:r>
          </w:p>
        </w:tc>
        <w:tc>
          <w:tcPr>
            <w:tcW w:type="dxa" w:w="2088"/>
            <w:vAlign w:val="center"/>
            <w:tcMar>
              <w:top w:w="100" w:type="dxa"/>
              <w:start w:w="140" w:type="dxa"/>
              <w:bottom w:w="100" w:type="dxa"/>
              <w:end w:w="140" w:type="dxa"/>
            </w:tcMar>
          </w:tcPr>
          <w:p>
            <w:pPr>
              <w:jc w:val="center"/>
            </w:pPr>
            <w:r>
              <w:rPr>
                <w:sz w:val="17"/>
              </w:rPr>
              <w:t>2%</w:t>
            </w:r>
          </w:p>
        </w:tc>
        <w:tc>
          <w:tcPr>
            <w:tcW w:type="dxa" w:w="2088"/>
            <w:vAlign w:val="center"/>
            <w:tcMar>
              <w:top w:w="100" w:type="dxa"/>
              <w:start w:w="140" w:type="dxa"/>
              <w:bottom w:w="100" w:type="dxa"/>
              <w:end w:w="140" w:type="dxa"/>
            </w:tcMar>
          </w:tcPr>
          <w:p>
            <w:pPr>
              <w:jc w:val="center"/>
            </w:pPr>
            <w:r>
              <w:rPr>
                <w:sz w:val="17"/>
              </w:rPr>
              <w:t>3%</w:t>
            </w:r>
          </w:p>
        </w:tc>
        <w:tc>
          <w:tcPr>
            <w:tcW w:type="dxa" w:w="3240"/>
            <w:vAlign w:val="center"/>
            <w:tcMar>
              <w:top w:w="100" w:type="dxa"/>
              <w:start w:w="140" w:type="dxa"/>
              <w:bottom w:w="100" w:type="dxa"/>
              <w:end w:w="140" w:type="dxa"/>
            </w:tcMar>
          </w:tcPr>
          <w:p>
            <w:pPr>
              <w:jc w:val="center"/>
            </w:pPr>
            <w:r>
              <w:rPr>
                <w:sz w:val="17"/>
              </w:rPr>
              <w:t>Set 113 demands slightly stronger annual growth.</w:t>
            </w:r>
          </w:p>
        </w:tc>
      </w:tr>
      <w:tr>
        <w:trPr>
          <w:cantSplit/>
        </w:trPr>
        <w:tc>
          <w:tcPr>
            <w:tcW w:type="dxa" w:w="1800"/>
            <w:vAlign w:val="center"/>
            <w:tcMar>
              <w:top w:w="100" w:type="dxa"/>
              <w:start w:w="140" w:type="dxa"/>
              <w:bottom w:w="100" w:type="dxa"/>
              <w:end w:w="140" w:type="dxa"/>
            </w:tcMar>
            <w:shd w:fill="F2F4F7"/>
          </w:tcPr>
          <w:p>
            <w:pPr>
              <w:jc w:val="left"/>
            </w:pPr>
            <w:r>
              <w:rPr>
                <w:sz w:val="17"/>
              </w:rPr>
              <w:t>A-F average returns</w:t>
            </w:r>
          </w:p>
        </w:tc>
        <w:tc>
          <w:tcPr>
            <w:tcW w:type="dxa" w:w="2088"/>
            <w:vAlign w:val="center"/>
            <w:tcMar>
              <w:top w:w="100" w:type="dxa"/>
              <w:start w:w="140" w:type="dxa"/>
              <w:bottom w:w="100" w:type="dxa"/>
              <w:end w:w="140" w:type="dxa"/>
            </w:tcMar>
            <w:shd w:fill="F2F4F7"/>
          </w:tcPr>
          <w:p>
            <w:pPr>
              <w:jc w:val="center"/>
            </w:pPr>
            <w:r>
              <w:rPr>
                <w:sz w:val="17"/>
              </w:rPr>
              <w:t>2.75 / 8.52 / 9.51%</w:t>
            </w:r>
          </w:p>
        </w:tc>
        <w:tc>
          <w:tcPr>
            <w:tcW w:type="dxa" w:w="2088"/>
            <w:vAlign w:val="center"/>
            <w:tcMar>
              <w:top w:w="100" w:type="dxa"/>
              <w:start w:w="140" w:type="dxa"/>
              <w:bottom w:w="100" w:type="dxa"/>
              <w:end w:w="140" w:type="dxa"/>
            </w:tcMar>
            <w:shd w:fill="F2F4F7"/>
          </w:tcPr>
          <w:p>
            <w:pPr>
              <w:jc w:val="center"/>
            </w:pPr>
            <w:r>
              <w:rPr>
                <w:sz w:val="17"/>
              </w:rPr>
              <w:t>2.68 / 8.35 / 10.22%</w:t>
            </w:r>
          </w:p>
        </w:tc>
        <w:tc>
          <w:tcPr>
            <w:tcW w:type="dxa" w:w="3240"/>
            <w:vAlign w:val="center"/>
            <w:tcMar>
              <w:top w:w="100" w:type="dxa"/>
              <w:start w:w="140" w:type="dxa"/>
              <w:bottom w:w="100" w:type="dxa"/>
              <w:end w:w="140" w:type="dxa"/>
            </w:tcMar>
            <w:shd w:fill="F2F4F7"/>
          </w:tcPr>
          <w:p>
            <w:pPr>
              <w:jc w:val="center"/>
            </w:pPr>
            <w:r>
              <w:rPr>
                <w:sz w:val="17"/>
              </w:rPr>
              <w:t>Very similar; set 113 leads only at 2 years.</w:t>
            </w:r>
          </w:p>
        </w:tc>
      </w:tr>
      <w:tr>
        <w:trPr>
          <w:cantSplit/>
        </w:trPr>
        <w:tc>
          <w:tcPr>
            <w:tcW w:type="dxa" w:w="1800"/>
            <w:vAlign w:val="center"/>
            <w:tcMar>
              <w:top w:w="100" w:type="dxa"/>
              <w:start w:w="140" w:type="dxa"/>
              <w:bottom w:w="100" w:type="dxa"/>
              <w:end w:w="140" w:type="dxa"/>
            </w:tcMar>
          </w:tcPr>
          <w:p>
            <w:pPr>
              <w:jc w:val="left"/>
            </w:pPr>
            <w:r>
              <w:rPr>
                <w:sz w:val="17"/>
              </w:rPr>
              <w:t>A-F completed N</w:t>
            </w:r>
          </w:p>
        </w:tc>
        <w:tc>
          <w:tcPr>
            <w:tcW w:type="dxa" w:w="2088"/>
            <w:vAlign w:val="center"/>
            <w:tcMar>
              <w:top w:w="100" w:type="dxa"/>
              <w:start w:w="140" w:type="dxa"/>
              <w:bottom w:w="100" w:type="dxa"/>
              <w:end w:w="140" w:type="dxa"/>
            </w:tcMar>
          </w:tcPr>
          <w:p>
            <w:pPr>
              <w:jc w:val="center"/>
            </w:pPr>
            <w:r>
              <w:rPr>
                <w:sz w:val="17"/>
              </w:rPr>
              <w:t>56 / 53 / 43</w:t>
            </w:r>
          </w:p>
        </w:tc>
        <w:tc>
          <w:tcPr>
            <w:tcW w:type="dxa" w:w="2088"/>
            <w:vAlign w:val="center"/>
            <w:tcMar>
              <w:top w:w="100" w:type="dxa"/>
              <w:start w:w="140" w:type="dxa"/>
              <w:bottom w:w="100" w:type="dxa"/>
              <w:end w:w="140" w:type="dxa"/>
            </w:tcMar>
          </w:tcPr>
          <w:p>
            <w:pPr>
              <w:jc w:val="center"/>
            </w:pPr>
            <w:r>
              <w:rPr>
                <w:sz w:val="17"/>
              </w:rPr>
              <w:t>54 / 51 / 41</w:t>
            </w:r>
          </w:p>
        </w:tc>
        <w:tc>
          <w:tcPr>
            <w:tcW w:type="dxa" w:w="3240"/>
            <w:vAlign w:val="center"/>
            <w:tcMar>
              <w:top w:w="100" w:type="dxa"/>
              <w:start w:w="140" w:type="dxa"/>
              <w:bottom w:w="100" w:type="dxa"/>
              <w:end w:w="140" w:type="dxa"/>
            </w:tcMar>
          </w:tcPr>
          <w:p>
            <w:pPr>
              <w:jc w:val="center"/>
            </w:pPr>
            <w:r>
              <w:rPr>
                <w:sz w:val="17"/>
              </w:rPr>
              <w:t>Set 17 has modestly better coverage.</w:t>
            </w:r>
          </w:p>
        </w:tc>
      </w:tr>
      <w:tr>
        <w:trPr>
          <w:cantSplit/>
        </w:trPr>
        <w:tc>
          <w:tcPr>
            <w:tcW w:type="dxa" w:w="1800"/>
            <w:vAlign w:val="center"/>
            <w:tcMar>
              <w:top w:w="100" w:type="dxa"/>
              <w:start w:w="140" w:type="dxa"/>
              <w:bottom w:w="100" w:type="dxa"/>
              <w:end w:w="140" w:type="dxa"/>
            </w:tcMar>
            <w:shd w:fill="F2F4F7"/>
          </w:tcPr>
          <w:p>
            <w:pPr>
              <w:jc w:val="left"/>
            </w:pPr>
            <w:r>
              <w:rPr>
                <w:sz w:val="17"/>
              </w:rPr>
              <w:t>A-H average returns</w:t>
            </w:r>
          </w:p>
        </w:tc>
        <w:tc>
          <w:tcPr>
            <w:tcW w:type="dxa" w:w="2088"/>
            <w:vAlign w:val="center"/>
            <w:tcMar>
              <w:top w:w="100" w:type="dxa"/>
              <w:start w:w="140" w:type="dxa"/>
              <w:bottom w:w="100" w:type="dxa"/>
              <w:end w:w="140" w:type="dxa"/>
            </w:tcMar>
            <w:shd w:fill="F2F4F7"/>
          </w:tcPr>
          <w:p>
            <w:pPr>
              <w:jc w:val="center"/>
            </w:pPr>
            <w:r>
              <w:rPr>
                <w:sz w:val="17"/>
              </w:rPr>
              <w:t>4.98 / 10.43 / 1.56%</w:t>
            </w:r>
          </w:p>
        </w:tc>
        <w:tc>
          <w:tcPr>
            <w:tcW w:type="dxa" w:w="2088"/>
            <w:vAlign w:val="center"/>
            <w:tcMar>
              <w:top w:w="100" w:type="dxa"/>
              <w:start w:w="140" w:type="dxa"/>
              <w:bottom w:w="100" w:type="dxa"/>
              <w:end w:w="140" w:type="dxa"/>
            </w:tcMar>
            <w:shd w:fill="F2F4F7"/>
          </w:tcPr>
          <w:p>
            <w:pPr>
              <w:jc w:val="center"/>
            </w:pPr>
            <w:r>
              <w:rPr>
                <w:sz w:val="17"/>
              </w:rPr>
              <w:t>5.05 / 10.11 / 2.24%</w:t>
            </w:r>
          </w:p>
        </w:tc>
        <w:tc>
          <w:tcPr>
            <w:tcW w:type="dxa" w:w="3240"/>
            <w:vAlign w:val="center"/>
            <w:tcMar>
              <w:top w:w="100" w:type="dxa"/>
              <w:start w:w="140" w:type="dxa"/>
              <w:bottom w:w="100" w:type="dxa"/>
              <w:end w:w="140" w:type="dxa"/>
            </w:tcMar>
            <w:shd w:fill="F2F4F7"/>
          </w:tcPr>
          <w:p>
            <w:pPr>
              <w:jc w:val="center"/>
            </w:pPr>
            <w:r>
              <w:rPr>
                <w:sz w:val="17"/>
              </w:rPr>
              <w:t>Set 113 slightly improves 6m and 2y averages.</w:t>
            </w:r>
          </w:p>
        </w:tc>
      </w:tr>
      <w:tr>
        <w:trPr>
          <w:cantSplit/>
        </w:trPr>
        <w:tc>
          <w:tcPr>
            <w:tcW w:type="dxa" w:w="1800"/>
            <w:vAlign w:val="center"/>
            <w:tcMar>
              <w:top w:w="100" w:type="dxa"/>
              <w:start w:w="140" w:type="dxa"/>
              <w:bottom w:w="100" w:type="dxa"/>
              <w:end w:w="140" w:type="dxa"/>
            </w:tcMar>
          </w:tcPr>
          <w:p>
            <w:pPr>
              <w:jc w:val="left"/>
            </w:pPr>
            <w:r>
              <w:rPr>
                <w:sz w:val="17"/>
              </w:rPr>
              <w:t>Robustness</w:t>
            </w:r>
          </w:p>
        </w:tc>
        <w:tc>
          <w:tcPr>
            <w:tcW w:type="dxa" w:w="2088"/>
            <w:vAlign w:val="center"/>
            <w:tcMar>
              <w:top w:w="100" w:type="dxa"/>
              <w:start w:w="140" w:type="dxa"/>
              <w:bottom w:w="100" w:type="dxa"/>
              <w:end w:w="140" w:type="dxa"/>
            </w:tcMar>
          </w:tcPr>
          <w:p>
            <w:pPr>
              <w:jc w:val="center"/>
            </w:pPr>
            <w:r>
              <w:rPr>
                <w:sz w:val="17"/>
              </w:rPr>
              <w:t>Stronger medians/win-rate blend</w:t>
            </w:r>
          </w:p>
        </w:tc>
        <w:tc>
          <w:tcPr>
            <w:tcW w:type="dxa" w:w="2088"/>
            <w:vAlign w:val="center"/>
            <w:tcMar>
              <w:top w:w="100" w:type="dxa"/>
              <w:start w:w="140" w:type="dxa"/>
              <w:bottom w:w="100" w:type="dxa"/>
              <w:end w:w="140" w:type="dxa"/>
            </w:tcMar>
          </w:tcPr>
          <w:p>
            <w:pPr>
              <w:jc w:val="center"/>
            </w:pPr>
            <w:r>
              <w:rPr>
                <w:sz w:val="17"/>
              </w:rPr>
              <w:t>Best average-return rank</w:t>
            </w:r>
          </w:p>
        </w:tc>
        <w:tc>
          <w:tcPr>
            <w:tcW w:type="dxa" w:w="3240"/>
            <w:vAlign w:val="center"/>
            <w:tcMar>
              <w:top w:w="100" w:type="dxa"/>
              <w:start w:w="140" w:type="dxa"/>
              <w:bottom w:w="100" w:type="dxa"/>
              <w:end w:w="140" w:type="dxa"/>
            </w:tcMar>
          </w:tcPr>
          <w:p>
            <w:pPr>
              <w:jc w:val="center"/>
            </w:pPr>
            <w:r>
              <w:rPr>
                <w:sz w:val="17"/>
              </w:rPr>
              <w:t>Choose 17 unless maximizing average-return rank is the only objective.</w:t>
            </w:r>
          </w:p>
        </w:tc>
      </w:tr>
    </w:tbl>
    <w:p>
      <w:pPr>
        <w:spacing w:after="20"/>
      </w:pPr>
    </w:p>
    <w:tbl>
      <w:tblPr>
        <w:tblW w:type="auto" w:w="0"/>
        <w:jc w:val="center"/>
        <w:tblLook w:firstColumn="1" w:firstRow="1" w:lastColumn="0" w:lastRow="0" w:noHBand="0" w:noVBand="1" w:val="04A0"/>
      </w:tblPr>
      <w:tblGrid>
        <w:gridCol w:w="9792"/>
      </w:tblGrid>
      <w:tr>
        <w:tc>
          <w:tcPr>
            <w:tcW w:type="dxa" w:w="9792"/>
            <w:shd w:fill="E8EEF5"/>
            <w:tcMar>
              <w:top w:w="150" w:type="dxa"/>
              <w:start w:w="180" w:type="dxa"/>
              <w:bottom w:w="150" w:type="dxa"/>
              <w:end w:w="180" w:type="dxa"/>
            </w:tcMar>
          </w:tcPr>
          <w:p>
            <w:r>
              <w:rPr>
                <w:b/>
                <w:color w:val="0B2545"/>
              </w:rPr>
              <w:t xml:space="preserve">Practical conclusion: </w:t>
            </w:r>
            <w:r>
              <w:t>The evidence does not justify treating set 113 as decisively superior to set 17. Their observations substantially overlap, and the differences are small. Set 17's slightly broader coverage and stronger median/win-rate profile make it the safer default.</w:t>
            </w:r>
          </w:p>
        </w:tc>
      </w:tr>
    </w:tbl>
    <w:p>
      <w:pPr>
        <w:spacing w:after="20"/>
      </w:pPr>
    </w:p>
    <w:p>
      <w:pPr>
        <w:pStyle w:val="Heading1"/>
      </w:pPr>
      <w:r>
        <w:t>How To Use A-F And A-H</w:t>
      </w:r>
    </w:p>
    <w:p>
      <w:pPr>
        <w:pStyle w:val="ListBullet"/>
      </w:pPr>
      <w:r>
        <w:t>Use A-F as the primary product candidate list. It has materially larger completed samples and more credible two-year evidence.</w:t>
      </w:r>
    </w:p>
    <w:p>
      <w:pPr>
        <w:pStyle w:val="ListBullet"/>
      </w:pPr>
      <w:r>
        <w:t>Use A-H as an additional confidence or timing label, not as proof of superior long-term performance.</w:t>
      </w:r>
    </w:p>
    <w:p>
      <w:pPr>
        <w:pStyle w:val="ListBullet"/>
      </w:pPr>
      <w:r>
        <w:t>A-H shows attractive 6-month and 1-year results for set 17, but its 2-year average falls to 1.56%, its 2-year median is -1.52%, and its 2-year win rate is 50%.</w:t>
      </w:r>
    </w:p>
    <w:tbl>
      <w:tblPr>
        <w:tblW w:type="auto" w:w="0"/>
        <w:jc w:val="center"/>
        <w:tblLook w:firstColumn="1" w:firstRow="1" w:lastColumn="0" w:lastRow="0" w:noHBand="0" w:noVBand="1" w:val="04A0"/>
      </w:tblPr>
      <w:tblGrid>
        <w:gridCol w:w="9792"/>
      </w:tblGrid>
      <w:tr>
        <w:tc>
          <w:tcPr>
            <w:tcW w:type="dxa" w:w="9792"/>
            <w:shd w:fill="FFF4CE"/>
            <w:tcMar>
              <w:top w:w="150" w:type="dxa"/>
              <w:start w:w="180" w:type="dxa"/>
              <w:bottom w:w="150" w:type="dxa"/>
              <w:end w:w="180" w:type="dxa"/>
            </w:tcMar>
          </w:tcPr>
          <w:p>
            <w:r>
              <w:rPr>
                <w:b/>
                <w:color w:val="0B2545"/>
              </w:rPr>
              <w:t xml:space="preserve">Important interpretation: </w:t>
            </w:r>
            <w:r>
              <w:t>Weekly G/H confirmation appears useful for short- and medium-term selectivity, but the current evidence does not support using A-H as a stronger two-year holding signal.</w:t>
            </w:r>
          </w:p>
        </w:tc>
      </w:tr>
    </w:tbl>
    <w:p>
      <w:pPr>
        <w:spacing w:after="20"/>
      </w:pPr>
    </w:p>
    <w:p>
      <w:pPr>
        <w:pStyle w:val="Heading1"/>
      </w:pPr>
      <w:r>
        <w:t>Parameter-Level Insights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872"/>
            <w:shd w:fill="E8EEF5"/>
            <w:tcMar>
              <w:top w:w="100" w:type="dxa"/>
              <w:start w:w="140" w:type="dxa"/>
              <w:bottom w:w="100" w:type="dxa"/>
              <w:end w:w="140" w:type="dxa"/>
            </w:tcMar>
          </w:tcPr>
          <w:p>
            <w:pPr>
              <w:jc w:val="left"/>
            </w:pPr>
            <w:r>
              <w:rPr>
                <w:b/>
                <w:color w:val="0B2545"/>
                <w:sz w:val="18"/>
              </w:rPr>
              <w:t>Parameter choice</w:t>
            </w:r>
          </w:p>
        </w:tc>
        <w:tc>
          <w:tcPr>
            <w:tcW w:type="dxa" w:w="4464"/>
            <w:shd w:fill="E8EEF5"/>
            <w:tcMar>
              <w:top w:w="100" w:type="dxa"/>
              <w:start w:w="140" w:type="dxa"/>
              <w:bottom w:w="100" w:type="dxa"/>
              <w:end w:w="140" w:type="dxa"/>
            </w:tcMar>
          </w:tcPr>
          <w:p>
            <w:pPr>
              <w:jc w:val="center"/>
            </w:pPr>
            <w:r>
              <w:rPr>
                <w:b/>
                <w:color w:val="0B2545"/>
                <w:sz w:val="18"/>
              </w:rPr>
              <w:t>Observed implication</w:t>
            </w:r>
          </w:p>
        </w:tc>
        <w:tc>
          <w:tcPr>
            <w:tcW w:type="dxa" w:w="2880"/>
            <w:shd w:fill="E8EEF5"/>
            <w:tcMar>
              <w:top w:w="100" w:type="dxa"/>
              <w:start w:w="140" w:type="dxa"/>
              <w:bottom w:w="100" w:type="dxa"/>
              <w:end w:w="140" w:type="dxa"/>
            </w:tcMar>
          </w:tcPr>
          <w:p>
            <w:pPr>
              <w:jc w:val="center"/>
            </w:pPr>
            <w:r>
              <w:rPr>
                <w:b/>
                <w:color w:val="0B2545"/>
                <w:sz w:val="18"/>
              </w:rPr>
              <w:t>Recommendation</w:t>
            </w:r>
          </w:p>
        </w:tc>
      </w:tr>
      <w:tr>
        <w:trPr>
          <w:cantSplit/>
        </w:trPr>
        <w:tc>
          <w:tcPr>
            <w:tcW w:type="dxa" w:w="1872"/>
            <w:vAlign w:val="center"/>
            <w:tcMar>
              <w:top w:w="100" w:type="dxa"/>
              <w:start w:w="140" w:type="dxa"/>
              <w:bottom w:w="100" w:type="dxa"/>
              <w:end w:w="140" w:type="dxa"/>
            </w:tcMar>
          </w:tcPr>
          <w:p>
            <w:pPr>
              <w:jc w:val="left"/>
            </w:pPr>
            <w:r>
              <w:rPr>
                <w:sz w:val="17"/>
              </w:rPr>
              <w:t>Volume ratio threshold</w:t>
            </w:r>
          </w:p>
        </w:tc>
        <w:tc>
          <w:tcPr>
            <w:tcW w:type="dxa" w:w="4464"/>
            <w:vAlign w:val="center"/>
            <w:tcMar>
              <w:top w:w="100" w:type="dxa"/>
              <w:start w:w="140" w:type="dxa"/>
              <w:bottom w:w="100" w:type="dxa"/>
              <w:end w:w="140" w:type="dxa"/>
            </w:tcMar>
          </w:tcPr>
          <w:p>
            <w:pPr>
              <w:jc w:val="center"/>
            </w:pPr>
            <w:r>
              <w:rPr>
                <w:sz w:val="17"/>
              </w:rPr>
              <w:t>Increasing from 2x toward 5x sharply reduces both A-F and A-H yield.</w:t>
            </w:r>
          </w:p>
        </w:tc>
        <w:tc>
          <w:tcPr>
            <w:tcW w:type="dxa" w:w="2880"/>
            <w:vAlign w:val="center"/>
            <w:tcMar>
              <w:top w:w="100" w:type="dxa"/>
              <w:start w:w="140" w:type="dxa"/>
              <w:bottom w:w="100" w:type="dxa"/>
              <w:end w:w="140" w:type="dxa"/>
            </w:tcMar>
          </w:tcPr>
          <w:p>
            <w:pPr>
              <w:jc w:val="center"/>
            </w:pPr>
            <w:r>
              <w:rPr>
                <w:sz w:val="17"/>
              </w:rPr>
              <w:t>Keep 2x as the default; treat 3x+ as optional high-conviction filters.</w:t>
            </w:r>
          </w:p>
        </w:tc>
      </w:tr>
      <w:tr>
        <w:trPr>
          <w:cantSplit/>
        </w:trPr>
        <w:tc>
          <w:tcPr>
            <w:tcW w:type="dxa" w:w="1872"/>
            <w:vAlign w:val="center"/>
            <w:tcMar>
              <w:top w:w="100" w:type="dxa"/>
              <w:start w:w="140" w:type="dxa"/>
              <w:bottom w:w="100" w:type="dxa"/>
              <w:end w:w="140" w:type="dxa"/>
            </w:tcMar>
            <w:shd w:fill="F2F4F7"/>
          </w:tcPr>
          <w:p>
            <w:pPr>
              <w:jc w:val="left"/>
            </w:pPr>
            <w:r>
              <w:rPr>
                <w:sz w:val="17"/>
              </w:rPr>
              <w:t>Annual periods</w:t>
            </w:r>
          </w:p>
        </w:tc>
        <w:tc>
          <w:tcPr>
            <w:tcW w:type="dxa" w:w="4464"/>
            <w:vAlign w:val="center"/>
            <w:tcMar>
              <w:top w:w="100" w:type="dxa"/>
              <w:start w:w="140" w:type="dxa"/>
              <w:bottom w:w="100" w:type="dxa"/>
              <w:end w:w="140" w:type="dxa"/>
            </w:tcMar>
            <w:shd w:fill="F2F4F7"/>
          </w:tcPr>
          <w:p>
            <w:pPr>
              <w:jc w:val="center"/>
            </w:pPr>
            <w:r>
              <w:rPr>
                <w:sz w:val="17"/>
              </w:rPr>
              <w:t>Three years substantially reduces candidate coverage.</w:t>
            </w:r>
          </w:p>
        </w:tc>
        <w:tc>
          <w:tcPr>
            <w:tcW w:type="dxa" w:w="2880"/>
            <w:vAlign w:val="center"/>
            <w:tcMar>
              <w:top w:w="100" w:type="dxa"/>
              <w:start w:w="140" w:type="dxa"/>
              <w:bottom w:w="100" w:type="dxa"/>
              <w:end w:w="140" w:type="dxa"/>
            </w:tcMar>
            <w:shd w:fill="F2F4F7"/>
          </w:tcPr>
          <w:p>
            <w:pPr>
              <w:jc w:val="center"/>
            </w:pPr>
            <w:r>
              <w:rPr>
                <w:sz w:val="17"/>
              </w:rPr>
              <w:t>Use 2 years by default until more history increases sample size.</w:t>
            </w:r>
          </w:p>
        </w:tc>
      </w:tr>
      <w:tr>
        <w:trPr>
          <w:cantSplit/>
        </w:trPr>
        <w:tc>
          <w:tcPr>
            <w:tcW w:type="dxa" w:w="1872"/>
            <w:vAlign w:val="center"/>
            <w:tcMar>
              <w:top w:w="100" w:type="dxa"/>
              <w:start w:w="140" w:type="dxa"/>
              <w:bottom w:w="100" w:type="dxa"/>
              <w:end w:w="140" w:type="dxa"/>
            </w:tcMar>
          </w:tcPr>
          <w:p>
            <w:pPr>
              <w:jc w:val="left"/>
            </w:pPr>
            <w:r>
              <w:rPr>
                <w:sz w:val="17"/>
              </w:rPr>
              <w:t>Quarterly periods</w:t>
            </w:r>
          </w:p>
        </w:tc>
        <w:tc>
          <w:tcPr>
            <w:tcW w:type="dxa" w:w="4464"/>
            <w:vAlign w:val="center"/>
            <w:tcMar>
              <w:top w:w="100" w:type="dxa"/>
              <w:start w:w="140" w:type="dxa"/>
              <w:bottom w:w="100" w:type="dxa"/>
              <w:end w:w="140" w:type="dxa"/>
            </w:tcMar>
          </w:tcPr>
          <w:p>
            <w:pPr>
              <w:jc w:val="center"/>
            </w:pPr>
            <w:r>
              <w:rPr>
                <w:sz w:val="17"/>
              </w:rPr>
              <w:t>Four quarters improves the strongest balanced configurations.</w:t>
            </w:r>
          </w:p>
        </w:tc>
        <w:tc>
          <w:tcPr>
            <w:tcW w:type="dxa" w:w="2880"/>
            <w:vAlign w:val="center"/>
            <w:tcMar>
              <w:top w:w="100" w:type="dxa"/>
              <w:start w:w="140" w:type="dxa"/>
              <w:bottom w:w="100" w:type="dxa"/>
              <w:end w:w="140" w:type="dxa"/>
            </w:tcMar>
          </w:tcPr>
          <w:p>
            <w:pPr>
              <w:jc w:val="center"/>
            </w:pPr>
            <w:r>
              <w:rPr>
                <w:sz w:val="17"/>
              </w:rPr>
              <w:t>Use 4 quarters for the primary strategy.</w:t>
            </w:r>
          </w:p>
        </w:tc>
      </w:tr>
      <w:tr>
        <w:trPr>
          <w:cantSplit/>
        </w:trPr>
        <w:tc>
          <w:tcPr>
            <w:tcW w:type="dxa" w:w="1872"/>
            <w:vAlign w:val="center"/>
            <w:tcMar>
              <w:top w:w="100" w:type="dxa"/>
              <w:start w:w="140" w:type="dxa"/>
              <w:bottom w:w="100" w:type="dxa"/>
              <w:end w:w="140" w:type="dxa"/>
            </w:tcMar>
            <w:shd w:fill="F2F4F7"/>
          </w:tcPr>
          <w:p>
            <w:pPr>
              <w:jc w:val="left"/>
            </w:pPr>
            <w:r>
              <w:rPr>
                <w:sz w:val="17"/>
              </w:rPr>
              <w:t>Growth thresholds</w:t>
            </w:r>
          </w:p>
        </w:tc>
        <w:tc>
          <w:tcPr>
            <w:tcW w:type="dxa" w:w="4464"/>
            <w:vAlign w:val="center"/>
            <w:tcMar>
              <w:top w:w="100" w:type="dxa"/>
              <w:start w:w="140" w:type="dxa"/>
              <w:bottom w:w="100" w:type="dxa"/>
              <w:end w:w="140" w:type="dxa"/>
            </w:tcMar>
            <w:shd w:fill="F2F4F7"/>
          </w:tcPr>
          <w:p>
            <w:pPr>
              <w:jc w:val="center"/>
            </w:pPr>
            <w:r>
              <w:rPr>
                <w:sz w:val="17"/>
              </w:rPr>
              <w:t>Moving from 2% to 3% changes results modestly compared with volume and period choices.</w:t>
            </w:r>
          </w:p>
        </w:tc>
        <w:tc>
          <w:tcPr>
            <w:tcW w:type="dxa" w:w="2880"/>
            <w:vAlign w:val="center"/>
            <w:tcMar>
              <w:top w:w="100" w:type="dxa"/>
              <w:start w:w="140" w:type="dxa"/>
              <w:bottom w:w="100" w:type="dxa"/>
              <w:end w:w="140" w:type="dxa"/>
            </w:tcMar>
            <w:shd w:fill="F2F4F7"/>
          </w:tcPr>
          <w:p>
            <w:pPr>
              <w:jc w:val="center"/>
            </w:pPr>
            <w:r>
              <w:rPr>
                <w:sz w:val="17"/>
              </w:rPr>
              <w:t>Prefer 2% default; keep 3% annual growth as a challenger.</w:t>
            </w:r>
          </w:p>
        </w:tc>
      </w:tr>
      <w:tr>
        <w:trPr>
          <w:cantSplit/>
        </w:trPr>
        <w:tc>
          <w:tcPr>
            <w:tcW w:type="dxa" w:w="1872"/>
            <w:vAlign w:val="center"/>
            <w:tcMar>
              <w:top w:w="100" w:type="dxa"/>
              <w:start w:w="140" w:type="dxa"/>
              <w:bottom w:w="100" w:type="dxa"/>
              <w:end w:w="140" w:type="dxa"/>
            </w:tcMar>
          </w:tcPr>
          <w:p>
            <w:pPr>
              <w:jc w:val="left"/>
            </w:pPr>
            <w:r>
              <w:rPr>
                <w:sz w:val="17"/>
              </w:rPr>
              <w:t>Volume surge days</w:t>
            </w:r>
          </w:p>
        </w:tc>
        <w:tc>
          <w:tcPr>
            <w:tcW w:type="dxa" w:w="4464"/>
            <w:vAlign w:val="center"/>
            <w:tcMar>
              <w:top w:w="100" w:type="dxa"/>
              <w:start w:w="140" w:type="dxa"/>
              <w:bottom w:w="100" w:type="dxa"/>
              <w:end w:w="140" w:type="dxa"/>
            </w:tcMar>
          </w:tcPr>
          <w:p>
            <w:pPr>
              <w:jc w:val="center"/>
            </w:pPr>
            <w:r>
              <w:rPr>
                <w:sz w:val="17"/>
              </w:rPr>
              <w:t>Two days generally preserves more evidence than three days.</w:t>
            </w:r>
          </w:p>
        </w:tc>
        <w:tc>
          <w:tcPr>
            <w:tcW w:type="dxa" w:w="2880"/>
            <w:vAlign w:val="center"/>
            <w:tcMar>
              <w:top w:w="100" w:type="dxa"/>
              <w:start w:w="140" w:type="dxa"/>
              <w:bottom w:w="100" w:type="dxa"/>
              <w:end w:w="140" w:type="dxa"/>
            </w:tcMar>
          </w:tcPr>
          <w:p>
            <w:pPr>
              <w:jc w:val="center"/>
            </w:pPr>
            <w:r>
              <w:rPr>
                <w:sz w:val="17"/>
              </w:rPr>
              <w:t>Use 2 days as the default.</w:t>
            </w:r>
          </w:p>
        </w:tc>
      </w:tr>
    </w:tbl>
    <w:p>
      <w:pPr>
        <w:spacing w:after="20"/>
      </w:pPr>
    </w:p>
    <w:p>
      <w:pPr>
        <w:pStyle w:val="Heading1"/>
      </w:pPr>
      <w:r>
        <w:t>Recommended Product Configuration</w:t>
      </w:r>
    </w:p>
    <w:tbl>
      <w:tblPr>
        <w:tblW w:type="auto" w:w="0"/>
        <w:jc w:val="center"/>
        <w:tblLayout w:type="fixed"/>
        <w:tblLook w:firstColumn="1" w:firstRow="1" w:lastColumn="0" w:lastRow="0" w:noHBand="0" w:noVBand="1" w:val="04A0"/>
      </w:tblPr>
      <w:tblGrid>
        <w:gridCol w:w="4896"/>
        <w:gridCol w:w="4896"/>
      </w:tblGrid>
      <w:tr>
        <w:trPr>
          <w:tblHeader/>
        </w:trPr>
        <w:tc>
          <w:tcPr>
            <w:tcW w:type="dxa" w:w="3600"/>
            <w:shd w:fill="E8EEF5"/>
            <w:tcMar>
              <w:top w:w="100" w:type="dxa"/>
              <w:start w:w="140" w:type="dxa"/>
              <w:bottom w:w="100" w:type="dxa"/>
              <w:end w:w="140" w:type="dxa"/>
            </w:tcMar>
          </w:tcPr>
          <w:p>
            <w:pPr>
              <w:jc w:val="left"/>
            </w:pPr>
            <w:r>
              <w:rPr>
                <w:b/>
                <w:color w:val="0B2545"/>
                <w:sz w:val="18"/>
              </w:rPr>
              <w:t>Setting</w:t>
            </w:r>
          </w:p>
        </w:tc>
        <w:tc>
          <w:tcPr>
            <w:tcW w:type="dxa" w:w="5472"/>
            <w:shd w:fill="E8EEF5"/>
            <w:tcMar>
              <w:top w:w="100" w:type="dxa"/>
              <w:start w:w="140" w:type="dxa"/>
              <w:bottom w:w="100" w:type="dxa"/>
              <w:end w:w="140" w:type="dxa"/>
            </w:tcMar>
          </w:tcPr>
          <w:p>
            <w:pPr>
              <w:jc w:val="center"/>
            </w:pPr>
            <w:r>
              <w:rPr>
                <w:b/>
                <w:color w:val="0B2545"/>
                <w:sz w:val="18"/>
              </w:rPr>
              <w:t>Recommended value</w:t>
            </w:r>
          </w:p>
        </w:tc>
      </w:tr>
      <w:tr>
        <w:trPr>
          <w:cantSplit/>
        </w:trPr>
        <w:tc>
          <w:tcPr>
            <w:tcW w:type="dxa" w:w="3600"/>
            <w:vAlign w:val="center"/>
            <w:tcMar>
              <w:top w:w="100" w:type="dxa"/>
              <w:start w:w="140" w:type="dxa"/>
              <w:bottom w:w="100" w:type="dxa"/>
              <w:end w:w="140" w:type="dxa"/>
            </w:tcMar>
          </w:tcPr>
          <w:p>
            <w:pPr>
              <w:jc w:val="left"/>
            </w:pPr>
            <w:r>
              <w:rPr>
                <w:sz w:val="17"/>
              </w:rPr>
              <w:t>Primary parameter set</w:t>
            </w:r>
          </w:p>
        </w:tc>
        <w:tc>
          <w:tcPr>
            <w:tcW w:type="dxa" w:w="5472"/>
            <w:vAlign w:val="center"/>
            <w:tcMar>
              <w:top w:w="100" w:type="dxa"/>
              <w:start w:w="140" w:type="dxa"/>
              <w:bottom w:w="100" w:type="dxa"/>
              <w:end w:w="140" w:type="dxa"/>
            </w:tcMar>
          </w:tcPr>
          <w:p>
            <w:pPr>
              <w:jc w:val="center"/>
            </w:pPr>
            <w:r>
              <w:rPr>
                <w:sz w:val="17"/>
              </w:rPr>
              <w:t>17: ag2_qg2_ay2_qc4_vr2_vd2</w:t>
            </w:r>
          </w:p>
        </w:tc>
      </w:tr>
      <w:tr>
        <w:trPr>
          <w:cantSplit/>
        </w:trPr>
        <w:tc>
          <w:tcPr>
            <w:tcW w:type="dxa" w:w="3600"/>
            <w:vAlign w:val="center"/>
            <w:tcMar>
              <w:top w:w="100" w:type="dxa"/>
              <w:start w:w="140" w:type="dxa"/>
              <w:bottom w:w="100" w:type="dxa"/>
              <w:end w:w="140" w:type="dxa"/>
            </w:tcMar>
            <w:shd w:fill="F2F4F7"/>
          </w:tcPr>
          <w:p>
            <w:pPr>
              <w:jc w:val="left"/>
            </w:pPr>
            <w:r>
              <w:rPr>
                <w:sz w:val="17"/>
              </w:rPr>
              <w:t>Annual growth threshold</w:t>
            </w:r>
          </w:p>
        </w:tc>
        <w:tc>
          <w:tcPr>
            <w:tcW w:type="dxa" w:w="5472"/>
            <w:vAlign w:val="center"/>
            <w:tcMar>
              <w:top w:w="100" w:type="dxa"/>
              <w:start w:w="140" w:type="dxa"/>
              <w:bottom w:w="100" w:type="dxa"/>
              <w:end w:w="140" w:type="dxa"/>
            </w:tcMar>
            <w:shd w:fill="F2F4F7"/>
          </w:tcPr>
          <w:p>
            <w:pPr>
              <w:jc w:val="center"/>
            </w:pPr>
            <w:r>
              <w:rPr>
                <w:sz w:val="17"/>
              </w:rPr>
              <w:t>2%</w:t>
            </w:r>
          </w:p>
        </w:tc>
      </w:tr>
      <w:tr>
        <w:trPr>
          <w:cantSplit/>
        </w:trPr>
        <w:tc>
          <w:tcPr>
            <w:tcW w:type="dxa" w:w="3600"/>
            <w:vAlign w:val="center"/>
            <w:tcMar>
              <w:top w:w="100" w:type="dxa"/>
              <w:start w:w="140" w:type="dxa"/>
              <w:bottom w:w="100" w:type="dxa"/>
              <w:end w:w="140" w:type="dxa"/>
            </w:tcMar>
          </w:tcPr>
          <w:p>
            <w:pPr>
              <w:jc w:val="left"/>
            </w:pPr>
            <w:r>
              <w:rPr>
                <w:sz w:val="17"/>
              </w:rPr>
              <w:t>Quarterly growth threshold</w:t>
            </w:r>
          </w:p>
        </w:tc>
        <w:tc>
          <w:tcPr>
            <w:tcW w:type="dxa" w:w="5472"/>
            <w:vAlign w:val="center"/>
            <w:tcMar>
              <w:top w:w="100" w:type="dxa"/>
              <w:start w:w="140" w:type="dxa"/>
              <w:bottom w:w="100" w:type="dxa"/>
              <w:end w:w="140" w:type="dxa"/>
            </w:tcMar>
          </w:tcPr>
          <w:p>
            <w:pPr>
              <w:jc w:val="center"/>
            </w:pPr>
            <w:r>
              <w:rPr>
                <w:sz w:val="17"/>
              </w:rPr>
              <w:t>2%</w:t>
            </w:r>
          </w:p>
        </w:tc>
      </w:tr>
      <w:tr>
        <w:trPr>
          <w:cantSplit/>
        </w:trPr>
        <w:tc>
          <w:tcPr>
            <w:tcW w:type="dxa" w:w="3600"/>
            <w:vAlign w:val="center"/>
            <w:tcMar>
              <w:top w:w="100" w:type="dxa"/>
              <w:start w:w="140" w:type="dxa"/>
              <w:bottom w:w="100" w:type="dxa"/>
              <w:end w:w="140" w:type="dxa"/>
            </w:tcMar>
            <w:shd w:fill="F2F4F7"/>
          </w:tcPr>
          <w:p>
            <w:pPr>
              <w:jc w:val="left"/>
            </w:pPr>
            <w:r>
              <w:rPr>
                <w:sz w:val="17"/>
              </w:rPr>
              <w:t>Annual periods</w:t>
            </w:r>
          </w:p>
        </w:tc>
        <w:tc>
          <w:tcPr>
            <w:tcW w:type="dxa" w:w="5472"/>
            <w:vAlign w:val="center"/>
            <w:tcMar>
              <w:top w:w="100" w:type="dxa"/>
              <w:start w:w="140" w:type="dxa"/>
              <w:bottom w:w="100" w:type="dxa"/>
              <w:end w:w="140" w:type="dxa"/>
            </w:tcMar>
            <w:shd w:fill="F2F4F7"/>
          </w:tcPr>
          <w:p>
            <w:pPr>
              <w:jc w:val="center"/>
            </w:pPr>
            <w:r>
              <w:rPr>
                <w:sz w:val="17"/>
              </w:rPr>
              <w:t>2</w:t>
            </w:r>
          </w:p>
        </w:tc>
      </w:tr>
      <w:tr>
        <w:trPr>
          <w:cantSplit/>
        </w:trPr>
        <w:tc>
          <w:tcPr>
            <w:tcW w:type="dxa" w:w="3600"/>
            <w:vAlign w:val="center"/>
            <w:tcMar>
              <w:top w:w="100" w:type="dxa"/>
              <w:start w:w="140" w:type="dxa"/>
              <w:bottom w:w="100" w:type="dxa"/>
              <w:end w:w="140" w:type="dxa"/>
            </w:tcMar>
          </w:tcPr>
          <w:p>
            <w:pPr>
              <w:jc w:val="left"/>
            </w:pPr>
            <w:r>
              <w:rPr>
                <w:sz w:val="17"/>
              </w:rPr>
              <w:t>Quarterly periods</w:t>
            </w:r>
          </w:p>
        </w:tc>
        <w:tc>
          <w:tcPr>
            <w:tcW w:type="dxa" w:w="5472"/>
            <w:vAlign w:val="center"/>
            <w:tcMar>
              <w:top w:w="100" w:type="dxa"/>
              <w:start w:w="140" w:type="dxa"/>
              <w:bottom w:w="100" w:type="dxa"/>
              <w:end w:w="140" w:type="dxa"/>
            </w:tcMar>
          </w:tcPr>
          <w:p>
            <w:pPr>
              <w:jc w:val="center"/>
            </w:pPr>
            <w:r>
              <w:rPr>
                <w:sz w:val="17"/>
              </w:rPr>
              <w:t>4</w:t>
            </w:r>
          </w:p>
        </w:tc>
      </w:tr>
      <w:tr>
        <w:trPr>
          <w:cantSplit/>
        </w:trPr>
        <w:tc>
          <w:tcPr>
            <w:tcW w:type="dxa" w:w="3600"/>
            <w:vAlign w:val="center"/>
            <w:tcMar>
              <w:top w:w="100" w:type="dxa"/>
              <w:start w:w="140" w:type="dxa"/>
              <w:bottom w:w="100" w:type="dxa"/>
              <w:end w:w="140" w:type="dxa"/>
            </w:tcMar>
            <w:shd w:fill="F2F4F7"/>
          </w:tcPr>
          <w:p>
            <w:pPr>
              <w:jc w:val="left"/>
            </w:pPr>
            <w:r>
              <w:rPr>
                <w:sz w:val="17"/>
              </w:rPr>
              <w:t>Volume ratio threshold</w:t>
            </w:r>
          </w:p>
        </w:tc>
        <w:tc>
          <w:tcPr>
            <w:tcW w:type="dxa" w:w="5472"/>
            <w:vAlign w:val="center"/>
            <w:tcMar>
              <w:top w:w="100" w:type="dxa"/>
              <w:start w:w="140" w:type="dxa"/>
              <w:bottom w:w="100" w:type="dxa"/>
              <w:end w:w="140" w:type="dxa"/>
            </w:tcMar>
            <w:shd w:fill="F2F4F7"/>
          </w:tcPr>
          <w:p>
            <w:pPr>
              <w:jc w:val="center"/>
            </w:pPr>
            <w:r>
              <w:rPr>
                <w:sz w:val="17"/>
              </w:rPr>
              <w:t>2x</w:t>
            </w:r>
          </w:p>
        </w:tc>
      </w:tr>
      <w:tr>
        <w:trPr>
          <w:cantSplit/>
        </w:trPr>
        <w:tc>
          <w:tcPr>
            <w:tcW w:type="dxa" w:w="3600"/>
            <w:vAlign w:val="center"/>
            <w:tcMar>
              <w:top w:w="100" w:type="dxa"/>
              <w:start w:w="140" w:type="dxa"/>
              <w:bottom w:w="100" w:type="dxa"/>
              <w:end w:w="140" w:type="dxa"/>
            </w:tcMar>
          </w:tcPr>
          <w:p>
            <w:pPr>
              <w:jc w:val="left"/>
            </w:pPr>
            <w:r>
              <w:rPr>
                <w:sz w:val="17"/>
              </w:rPr>
              <w:t>Volume surge minimum days</w:t>
            </w:r>
          </w:p>
        </w:tc>
        <w:tc>
          <w:tcPr>
            <w:tcW w:type="dxa" w:w="5472"/>
            <w:vAlign w:val="center"/>
            <w:tcMar>
              <w:top w:w="100" w:type="dxa"/>
              <w:start w:w="140" w:type="dxa"/>
              <w:bottom w:w="100" w:type="dxa"/>
              <w:end w:w="140" w:type="dxa"/>
            </w:tcMar>
          </w:tcPr>
          <w:p>
            <w:pPr>
              <w:jc w:val="center"/>
            </w:pPr>
            <w:r>
              <w:rPr>
                <w:sz w:val="17"/>
              </w:rPr>
              <w:t>2</w:t>
            </w:r>
          </w:p>
        </w:tc>
      </w:tr>
      <w:tr>
        <w:trPr>
          <w:cantSplit/>
        </w:trPr>
        <w:tc>
          <w:tcPr>
            <w:tcW w:type="dxa" w:w="3600"/>
            <w:vAlign w:val="center"/>
            <w:tcMar>
              <w:top w:w="100" w:type="dxa"/>
              <w:start w:w="140" w:type="dxa"/>
              <w:bottom w:w="100" w:type="dxa"/>
              <w:end w:w="140" w:type="dxa"/>
            </w:tcMar>
            <w:shd w:fill="F2F4F7"/>
          </w:tcPr>
          <w:p>
            <w:pPr>
              <w:jc w:val="left"/>
            </w:pPr>
            <w:r>
              <w:rPr>
                <w:sz w:val="17"/>
              </w:rPr>
              <w:t>Primary result list</w:t>
            </w:r>
          </w:p>
        </w:tc>
        <w:tc>
          <w:tcPr>
            <w:tcW w:type="dxa" w:w="5472"/>
            <w:vAlign w:val="center"/>
            <w:tcMar>
              <w:top w:w="100" w:type="dxa"/>
              <w:start w:w="140" w:type="dxa"/>
              <w:bottom w:w="100" w:type="dxa"/>
              <w:end w:w="140" w:type="dxa"/>
            </w:tcMar>
            <w:shd w:fill="F2F4F7"/>
          </w:tcPr>
          <w:p>
            <w:pPr>
              <w:jc w:val="center"/>
            </w:pPr>
            <w:r>
              <w:rPr>
                <w:sz w:val="17"/>
              </w:rPr>
              <w:t>A-F</w:t>
            </w:r>
          </w:p>
        </w:tc>
      </w:tr>
      <w:tr>
        <w:trPr>
          <w:cantSplit/>
        </w:trPr>
        <w:tc>
          <w:tcPr>
            <w:tcW w:type="dxa" w:w="3600"/>
            <w:vAlign w:val="center"/>
            <w:tcMar>
              <w:top w:w="100" w:type="dxa"/>
              <w:start w:w="140" w:type="dxa"/>
              <w:bottom w:w="100" w:type="dxa"/>
              <w:end w:w="140" w:type="dxa"/>
            </w:tcMar>
          </w:tcPr>
          <w:p>
            <w:pPr>
              <w:jc w:val="left"/>
            </w:pPr>
            <w:r>
              <w:rPr>
                <w:sz w:val="17"/>
              </w:rPr>
              <w:t>Additional label</w:t>
            </w:r>
          </w:p>
        </w:tc>
        <w:tc>
          <w:tcPr>
            <w:tcW w:type="dxa" w:w="5472"/>
            <w:vAlign w:val="center"/>
            <w:tcMar>
              <w:top w:w="100" w:type="dxa"/>
              <w:start w:w="140" w:type="dxa"/>
              <w:bottom w:w="100" w:type="dxa"/>
              <w:end w:w="140" w:type="dxa"/>
            </w:tcMar>
          </w:tcPr>
          <w:p>
            <w:pPr>
              <w:jc w:val="center"/>
            </w:pPr>
            <w:r>
              <w:rPr>
                <w:sz w:val="17"/>
              </w:rPr>
              <w:t>A-H confirmed</w:t>
            </w:r>
          </w:p>
        </w:tc>
      </w:tr>
      <w:tr>
        <w:trPr>
          <w:cantSplit/>
        </w:trPr>
        <w:tc>
          <w:tcPr>
            <w:tcW w:type="dxa" w:w="3600"/>
            <w:vAlign w:val="center"/>
            <w:tcMar>
              <w:top w:w="100" w:type="dxa"/>
              <w:start w:w="140" w:type="dxa"/>
              <w:bottom w:w="100" w:type="dxa"/>
              <w:end w:w="140" w:type="dxa"/>
            </w:tcMar>
            <w:shd w:fill="F2F4F7"/>
          </w:tcPr>
          <w:p>
            <w:pPr>
              <w:jc w:val="left"/>
            </w:pPr>
            <w:r>
              <w:rPr>
                <w:sz w:val="17"/>
              </w:rPr>
              <w:t>Challenger monitored beside default</w:t>
            </w:r>
          </w:p>
        </w:tc>
        <w:tc>
          <w:tcPr>
            <w:tcW w:type="dxa" w:w="5472"/>
            <w:vAlign w:val="center"/>
            <w:tcMar>
              <w:top w:w="100" w:type="dxa"/>
              <w:start w:w="140" w:type="dxa"/>
              <w:bottom w:w="100" w:type="dxa"/>
              <w:end w:w="140" w:type="dxa"/>
            </w:tcMar>
            <w:shd w:fill="F2F4F7"/>
          </w:tcPr>
          <w:p>
            <w:pPr>
              <w:jc w:val="center"/>
            </w:pPr>
            <w:r>
              <w:rPr>
                <w:sz w:val="17"/>
              </w:rPr>
              <w:t>113: annual growth threshold increased to 3%</w:t>
            </w:r>
          </w:p>
        </w:tc>
      </w:tr>
    </w:tbl>
    <w:p>
      <w:pPr>
        <w:spacing w:after="20"/>
      </w:pPr>
    </w:p>
    <w:p>
      <w:pPr>
        <w:pStyle w:val="Heading1"/>
      </w:pPr>
      <w:r>
        <w:t>What Would Change The Recommendation</w:t>
      </w:r>
    </w:p>
    <w:p>
      <w:pPr>
        <w:pStyle w:val="ListBullet"/>
      </w:pPr>
      <w:r>
        <w:t>A materially larger A-H two-year sample that produces positive median returns and a win rate clearly above 50%.</w:t>
      </w:r>
    </w:p>
    <w:p>
      <w:pPr>
        <w:pStyle w:val="ListBullet"/>
      </w:pPr>
      <w:r>
        <w:t>Walk-forward or out-of-sample testing showing set 113 consistently outperforming set 17.</w:t>
      </w:r>
    </w:p>
    <w:p>
      <w:pPr>
        <w:pStyle w:val="ListBullet"/>
      </w:pPr>
      <w:r>
        <w:t>Fundamental filing-availability dates that remove the remaining look-ahead-bias risk.</w:t>
      </w:r>
    </w:p>
    <w:p>
      <w:pPr>
        <w:pStyle w:val="ListBullet"/>
      </w:pPr>
      <w:r>
        <w:t>Portfolio simulations incorporating repeated entries, liquidity, transaction costs, position sizing, and overlapping capital.</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B80"/>
      </w:rPr>
      <w:t>Verified June 11,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NASDAQ Stock Recommendation | Parameter Selection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