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4"/>
        </w:rPr>
        <w:t>BACKTEST PLAN AND VERIFIED EXECUTION FLOW</w:t>
      </w:r>
    </w:p>
    <w:p>
      <w:r>
        <w:rPr>
          <w:color w:val="5C6B80"/>
        </w:rPr>
        <w:t>How 192 screening parameter sets are evaluated from January 2022 through fixed return horizons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3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</w:rPr>
              <w:t xml:space="preserve">Verdict: </w:t>
            </w:r>
            <w:r>
              <w:t>The proposed flow is correct, with one important detail: for each parameter set, screen type, and security, the implementation retains only the earliest qualifying selection that completes all required confirmations.</w:t>
            </w:r>
          </w:p>
        </w:tc>
      </w:tr>
    </w:tbl>
    <w:p>
      <w:pPr>
        <w:spacing w:after="20"/>
      </w:pPr>
    </w:p>
    <w:p>
      <w:pPr>
        <w:pStyle w:val="Heading1"/>
      </w:pPr>
      <w:r>
        <w:t>Verified Flow</w:t>
      </w:r>
    </w:p>
    <w:p>
      <w:pPr>
        <w:pStyle w:val="ListNumber"/>
      </w:pPr>
      <w:r>
        <w:rPr>
          <w:b/>
        </w:rPr>
        <w:t xml:space="preserve">Create 192 parameter sets: </w:t>
      </w:r>
      <w:r>
        <w:t>Build the Cartesian product of six selectable screening parameters. Daily and weekly moving-average tolerances remain fixed.</w:t>
      </w:r>
    </w:p>
    <w:p>
      <w:pPr>
        <w:pStyle w:val="ListNumber"/>
      </w:pPr>
      <w:r>
        <w:rPr>
          <w:b/>
        </w:rPr>
        <w:t xml:space="preserve">Build historical features: </w:t>
      </w:r>
      <w:r>
        <w:t>Read production S3 daily price data and fundamental growth histories, then build daily and completed-week feature Parquet files with DuckDB.</w:t>
      </w:r>
    </w:p>
    <w:p>
      <w:pPr>
        <w:pStyle w:val="ListNumber"/>
      </w:pPr>
      <w:r>
        <w:rPr>
          <w:b/>
        </w:rPr>
        <w:t xml:space="preserve">Find A-F and A-H selections: </w:t>
      </w:r>
      <w:r>
        <w:t>Evaluate every parameter set from January 1, 2022. A-F becomes actionable after MA20 crosses above MA50 on the next trading day. For A-H, G is anchored to the E signal week, H confirms WMA10 crossing above WMA30 on the following completed week, and entry waits until both F and H are observable.</w:t>
      </w:r>
    </w:p>
    <w:p>
      <w:pPr>
        <w:pStyle w:val="ListNumber"/>
      </w:pPr>
      <w:r>
        <w:rPr>
          <w:b/>
        </w:rPr>
        <w:t xml:space="preserve">Keep the earliest selection per security: </w:t>
      </w:r>
      <w:r>
        <w:t>Within each parameter set and screen type, later qualifying signals for the same gvkey/iid security are discarded.</w:t>
      </w:r>
    </w:p>
    <w:p>
      <w:pPr>
        <w:pStyle w:val="ListNumber"/>
      </w:pPr>
      <w:r>
        <w:rPr>
          <w:b/>
        </w:rPr>
        <w:t xml:space="preserve">Calculate fixed-horizon returns: </w:t>
      </w:r>
      <w:r>
        <w:t>Measure each retained selection at 6 months, 1 year, and 2 years using the first available trading price on or after the calendar horizon.</w:t>
      </w:r>
    </w:p>
    <w:p>
      <w:pPr>
        <w:pStyle w:val="ListNumber"/>
      </w:pPr>
      <w:r>
        <w:rPr>
          <w:b/>
        </w:rPr>
        <w:t xml:space="preserve">Compare parameter-set performance: </w:t>
      </w:r>
      <w:r>
        <w:t>For each screen and horizon, aggregate completed sample count, average return, median return, and win rate; then combine the three average-return ranks.</w:t>
      </w:r>
    </w:p>
    <w:p>
      <w:pPr>
        <w:pStyle w:val="Heading1"/>
      </w:pPr>
      <w:r>
        <w:t>Parameter Grid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4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0B2545"/>
                <w:sz w:val="18"/>
              </w:rPr>
              <w:t>Parameter</w:t>
            </w:r>
          </w:p>
        </w:tc>
        <w:tc>
          <w:tcPr>
            <w:tcW w:type="dxa" w:w="345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Choices</w:t>
            </w:r>
          </w:p>
        </w:tc>
        <w:tc>
          <w:tcPr>
            <w:tcW w:type="dxa" w:w="1728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Condition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Annual growth threshold</w:t>
            </w:r>
          </w:p>
        </w:tc>
        <w:tc>
          <w:tcPr>
            <w:tcW w:type="dxa" w:w="34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5%, 10%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left"/>
            </w:pPr>
            <w:r>
              <w:rPr>
                <w:sz w:val="17"/>
              </w:rPr>
              <w:t>Quarterly growth threshold</w:t>
            </w:r>
          </w:p>
        </w:tc>
        <w:tc>
          <w:tcPr>
            <w:tcW w:type="dxa" w:w="34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5%, 10%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Annual periods</w:t>
            </w:r>
          </w:p>
        </w:tc>
        <w:tc>
          <w:tcPr>
            <w:tcW w:type="dxa" w:w="34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2, 3 years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left"/>
            </w:pPr>
            <w:r>
              <w:rPr>
                <w:sz w:val="17"/>
              </w:rPr>
              <w:t>Quarterly periods</w:t>
            </w:r>
          </w:p>
        </w:tc>
        <w:tc>
          <w:tcPr>
            <w:tcW w:type="dxa" w:w="34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2, 3, 4 quarters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Volume-ratio threshold</w:t>
            </w:r>
          </w:p>
        </w:tc>
        <w:tc>
          <w:tcPr>
            <w:tcW w:type="dxa" w:w="34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2x, 3x, 4x, 5x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C / 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left"/>
            </w:pPr>
            <w:r>
              <w:rPr>
                <w:sz w:val="17"/>
              </w:rPr>
              <w:t>Volume-surge minimum days</w:t>
            </w:r>
          </w:p>
        </w:tc>
        <w:tc>
          <w:tcPr>
            <w:tcW w:type="dxa" w:w="34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2, 3 days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Daily MA tolerance</w:t>
            </w:r>
          </w:p>
        </w:tc>
        <w:tc>
          <w:tcPr>
            <w:tcW w:type="dxa" w:w="34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1% fixed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left"/>
            </w:pPr>
            <w:r>
              <w:rPr>
                <w:sz w:val="17"/>
              </w:rPr>
              <w:t>Weekly MA tolerance</w:t>
            </w:r>
          </w:p>
        </w:tc>
        <w:tc>
          <w:tcPr>
            <w:tcW w:type="dxa" w:w="34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2% fixed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G</w:t>
            </w:r>
          </w:p>
        </w:tc>
      </w:tr>
    </w:tbl>
    <w:p>
      <w:pPr>
        <w:spacing w:after="20"/>
      </w:pPr>
    </w:p>
    <w:p>
      <w:r>
        <w:t>Combination count: 2 x 2 x 2 x 3 x 4 x 2 = 192 parameter sets.</w:t>
      </w:r>
    </w:p>
    <w:p>
      <w:pPr>
        <w:pStyle w:val="Heading1"/>
      </w:pPr>
      <w:r>
        <w:t>Causal Selection Timing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</w:rPr>
              <w:t xml:space="preserve">No pre-confirmation return: </w:t>
            </w:r>
            <w:r>
              <w:t>Entry price and return measurement begin only when the required confirmation is observable. Price movement before the actionable selected date is excluded.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2592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0B2545"/>
                <w:sz w:val="18"/>
              </w:rPr>
              <w:t>Stage</w:t>
            </w:r>
          </w:p>
        </w:tc>
        <w:tc>
          <w:tcPr>
            <w:tcW w:type="dxa" w:w="309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A-F</w:t>
            </w:r>
          </w:p>
        </w:tc>
        <w:tc>
          <w:tcPr>
            <w:tcW w:type="dxa" w:w="3384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A-H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A-E signal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Daily signal date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Daily signal date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left"/>
            </w:pPr>
            <w:r>
              <w:rPr>
                <w:sz w:val="17"/>
              </w:rPr>
              <w:t>F confirmation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Next row: MA20 crosses above MA50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Next row: MA20 crosses above MA50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G confirmation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Not required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First completed official week ending on/after 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left"/>
            </w:pPr>
            <w:r>
              <w:rPr>
                <w:sz w:val="17"/>
              </w:rPr>
              <w:t>H confirmation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Not required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Following week: WMA10 crosses above WMA30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Actionable selected date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F confirmation date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Later of F and H confirmation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left"/>
            </w:pPr>
            <w:r>
              <w:rPr>
                <w:sz w:val="17"/>
              </w:rPr>
              <w:t>Entry price</w:t>
            </w:r>
          </w:p>
        </w:tc>
        <w:tc>
          <w:tcPr>
            <w:tcW w:type="dxa" w:w="309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F-confirmation adjusted close fallback</w:t>
            </w:r>
          </w:p>
        </w:tc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Price matching the actionable date</w:t>
            </w:r>
          </w:p>
        </w:tc>
      </w:tr>
    </w:tbl>
    <w:p>
      <w:pPr>
        <w:spacing w:after="20"/>
      </w:pPr>
    </w:p>
    <w:p>
      <w:pPr>
        <w:pStyle w:val="Heading1"/>
      </w:pPr>
      <w:r>
        <w:t>Selection Unit</w:t>
      </w:r>
    </w:p>
    <w:p>
      <w:r>
        <w:t>The stored observation is not every signal event. It is the earliest qualifying security selection for:</w:t>
      </w:r>
    </w:p>
    <w:p>
      <w:pPr>
        <w:pStyle w:val="ListBullet"/>
      </w:pPr>
      <w:r>
        <w:t>one parameter set</w:t>
      </w:r>
    </w:p>
    <w:p>
      <w:pPr>
        <w:pStyle w:val="ListBullet"/>
      </w:pPr>
      <w:r>
        <w:t>one screen type: A-F or A-H</w:t>
      </w:r>
    </w:p>
    <w:p>
      <w:pPr>
        <w:pStyle w:val="ListBullet"/>
      </w:pPr>
      <w:r>
        <w:t>one security identified by gvkey and iid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C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2545"/>
              </w:rPr>
              <w:t xml:space="preserve">Consequence: </w:t>
            </w:r>
            <w:r>
              <w:t>A stock that qualifies again later under the same parameter set and screen does not create another outcome. This avoids repeated-event concentration, but it means the study evaluates first-selection performance rather than every trading opportunity.</w:t>
            </w:r>
          </w:p>
        </w:tc>
      </w:tr>
    </w:tbl>
    <w:p>
      <w:pPr>
        <w:spacing w:after="20"/>
      </w:pPr>
    </w:p>
    <w:p>
      <w:pPr>
        <w:pStyle w:val="Heading1"/>
      </w:pPr>
      <w:r>
        <w:t>Fixed-Horizon Return Calculation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144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0B2545"/>
                <w:sz w:val="18"/>
              </w:rPr>
              <w:t>Horizon</w:t>
            </w:r>
          </w:p>
        </w:tc>
        <w:tc>
          <w:tcPr>
            <w:tcW w:type="dxa" w:w="504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Price date used</w:t>
            </w:r>
          </w:p>
        </w:tc>
        <w:tc>
          <w:tcPr>
            <w:tcW w:type="dxa" w:w="28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Return formula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6 months</w:t>
            </w:r>
          </w:p>
        </w:tc>
        <w:tc>
          <w:tcPr>
            <w:tcW w:type="dxa" w:w="50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First trading date on/after selected date + 6 calendar months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(price_6m / entry price - 1) x 100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left"/>
            </w:pPr>
            <w:r>
              <w:rPr>
                <w:sz w:val="17"/>
              </w:rPr>
              <w:t>1 year</w:t>
            </w:r>
          </w:p>
        </w:tc>
        <w:tc>
          <w:tcPr>
            <w:tcW w:type="dxa" w:w="50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First trading date on/after selected date + 1 calendar year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(price_1y / entry price - 1) x 100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2 years</w:t>
            </w:r>
          </w:p>
        </w:tc>
        <w:tc>
          <w:tcPr>
            <w:tcW w:type="dxa" w:w="50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First trading date on/after selected date + 2 calendar years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(price_2y / entry price - 1) x 100</w:t>
            </w:r>
          </w:p>
        </w:tc>
      </w:tr>
    </w:tbl>
    <w:p>
      <w:pPr>
        <w:spacing w:after="20"/>
      </w:pPr>
    </w:p>
    <w:p>
      <w:r>
        <w:t>If a selection has not yet reached a horizon, its horizon return remains null and is excluded from that horizon's comparison.</w:t>
      </w:r>
    </w:p>
    <w:p>
      <w:pPr>
        <w:pStyle w:val="Heading1"/>
      </w:pPr>
      <w:r>
        <w:t>Performance Comparison</w:t>
      </w:r>
    </w:p>
    <w:p>
      <w:pPr>
        <w:pStyle w:val="ListBullet"/>
      </w:pPr>
      <w:r>
        <w:t>A-F and A-H are compared separately because they have different confirmation timing and entry dates.</w:t>
      </w:r>
    </w:p>
    <w:p>
      <w:pPr>
        <w:pStyle w:val="ListBullet"/>
      </w:pPr>
      <w:r>
        <w:t>Each horizon is ranked independently by average return after applying a minimum completed-sample threshold.</w:t>
      </w:r>
    </w:p>
    <w:p>
      <w:pPr>
        <w:pStyle w:val="ListBullet"/>
      </w:pPr>
      <w:r>
        <w:t>The final combined score is the mean of the 6-month, 1-year, and 2-year average-return ranks; lower is better.</w:t>
      </w:r>
    </w:p>
    <w:p>
      <w:pPr>
        <w:pStyle w:val="ListBullet"/>
      </w:pPr>
      <w:r>
        <w:t>Combined eligibility requires sufficient completed observations at all three horizons.</w:t>
      </w:r>
    </w:p>
    <w:p>
      <w:pPr>
        <w:pStyle w:val="Heading1"/>
      </w:pPr>
      <w:r>
        <w:t>Latest Verified Run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/>
        </w:trPr>
        <w:tc>
          <w:tcPr>
            <w:tcW w:type="dxa" w:w="108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0B2545"/>
                <w:sz w:val="18"/>
              </w:rPr>
              <w:t>Screen</w:t>
            </w:r>
          </w:p>
        </w:tc>
        <w:tc>
          <w:tcPr>
            <w:tcW w:type="dxa" w:w="144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Selections</w:t>
            </w:r>
          </w:p>
        </w:tc>
        <w:tc>
          <w:tcPr>
            <w:tcW w:type="dxa" w:w="1728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Unique securities</w:t>
            </w:r>
          </w:p>
        </w:tc>
        <w:tc>
          <w:tcPr>
            <w:tcW w:type="dxa" w:w="144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6m complete</w:t>
            </w:r>
          </w:p>
        </w:tc>
        <w:tc>
          <w:tcPr>
            <w:tcW w:type="dxa" w:w="144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1y complete</w:t>
            </w:r>
          </w:p>
        </w:tc>
        <w:tc>
          <w:tcPr>
            <w:tcW w:type="dxa" w:w="144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2y complete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sz w:val="17"/>
              </w:rPr>
              <w:t>A-F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304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286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250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sz w:val="17"/>
              </w:rPr>
              <w:t>218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left"/>
            </w:pPr>
            <w:r>
              <w:rPr>
                <w:sz w:val="17"/>
              </w:rPr>
              <w:t>A-H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7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</w:tr>
    </w:tbl>
    <w:p>
      <w:pPr>
        <w:spacing w:after="20"/>
      </w:pPr>
    </w:p>
    <w:p>
      <w:r>
        <w:t>All 192 parameter sets were evaluated; 100 produced A-F outcomes and 20 produced A-H outcomes. Validation reported zero missing core price outcomes, zero confirmation-timing errors, zero inconsistent fixed-horizon rows, and zero invalid horizon dates. A-H currently has no completed 1-year or 2-year outcomes.</w:t>
      </w:r>
    </w:p>
    <w:p>
      <w:pPr>
        <w:pStyle w:val="Heading1"/>
      </w:pPr>
      <w:r>
        <w:t>What This Backtest Answers</w:t>
      </w:r>
    </w:p>
    <w:p>
      <w:pPr>
        <w:pStyle w:val="ListBullet"/>
      </w:pPr>
      <w:r>
        <w:t>Which parameter sets historically selected securities with stronger first-selection returns at each fixed horizon?</w:t>
      </w:r>
    </w:p>
    <w:p>
      <w:pPr>
        <w:pStyle w:val="ListBullet"/>
      </w:pPr>
      <w:r>
        <w:t>Which parameter sets performed consistently across 6-month, 1-year, and 2-year comparisons?</w:t>
      </w:r>
    </w:p>
    <w:p>
      <w:pPr>
        <w:pStyle w:val="ListBullet"/>
      </w:pPr>
      <w:r>
        <w:t>How much completed sample coverage supports each ranking?</w:t>
      </w:r>
    </w:p>
    <w:p>
      <w:pPr>
        <w:pStyle w:val="Heading1"/>
      </w:pPr>
      <w:r>
        <w:t>What It Does Not Yet Prove</w:t>
      </w:r>
    </w:p>
    <w:p>
      <w:pPr>
        <w:pStyle w:val="ListBullet"/>
      </w:pPr>
      <w:r>
        <w:t>A higher rank does not prove statistically significant superiority because parameter sets often reuse the same securities and dates.</w:t>
      </w:r>
    </w:p>
    <w:p>
      <w:pPr>
        <w:pStyle w:val="ListBullet"/>
      </w:pPr>
      <w:r>
        <w:t>The design does not simulate repeated entries, portfolio sizing, transaction costs, or overlapping capital.</w:t>
      </w:r>
    </w:p>
    <w:p>
      <w:pPr>
        <w:pStyle w:val="ListBullet"/>
      </w:pPr>
      <w:r>
        <w:t>Fundamentals use datadate &lt;= signal date because filing/publication availability dates are not present; this reduces but does not fully remove look-ahead risk.</w:t>
      </w:r>
    </w:p>
    <w:p>
      <w:pPr>
        <w:pStyle w:val="ListBullet"/>
      </w:pPr>
      <w:r>
        <w:t>Fixed-horizon outcomes are hypothetical holding periods, not an exit strategy.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B80"/>
      </w:rPr>
      <w:t>Verified June 11,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C6B80"/>
      </w:rPr>
      <w:t>NASDAQ Stock Recommendation | Backtest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