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2545"/>
          <w:sz w:val="46"/>
        </w:rPr>
        <w:t>BACKTEST PERFORMANCE COMPARISON</w:t>
      </w:r>
    </w:p>
    <w:p>
      <w:r>
        <w:rPr>
          <w:color w:val="5C6B80"/>
        </w:rPr>
        <w:t>Causal A-F and A-H return, win-rate, and drawdown comparison</w:t>
      </w:r>
    </w:p>
    <w:p>
      <w:r>
        <w:t>Complete aggregate export: 384 screen-parameter rows, 5,626 parameter-security outcomes, and 192 parameter sets per screen.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EEF5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r>
              <w:rPr>
                <w:b/>
              </w:rPr>
              <w:t>Balanced ranking gives equal weight to average return, median return, win rate, and average drawdown. It is a comparison aid, not a significance test or a production recommendation.</w:t>
            </w:r>
          </w:p>
        </w:tc>
      </w:tr>
    </w:tbl>
    <w:p>
      <w:pPr>
        <w:pStyle w:val="Heading1"/>
      </w:pPr>
      <w:r>
        <w:t>Executive Summary</w:t>
      </w:r>
    </w:p>
    <w:p>
      <w:pPr>
        <w:pStyle w:val="ListBullet"/>
      </w:pPr>
      <w:r>
        <w:t>A-F: the leading sample-filtered balanced candidate is ID 3 (ag2_qg2_ay2_qc2_vr3_vd2), with 36 outcomes, 44.34% average return, 17.61% median return, 77.78% win rate, and -16.05% average drawdown.</w:t>
      </w:r>
    </w:p>
    <w:p>
      <w:pPr>
        <w:pStyle w:val="ListBullet"/>
      </w:pPr>
      <w:r>
        <w:t>A-H: the leading sample-filtered balanced candidate is ID 147 (ag3_qg3_ay2_qc2_vr3_vd2), with 17 outcomes, 21.83% average return, 12.85% median return, 76.47% win rate, and -16.18% average drawdown.</w:t>
      </w:r>
    </w:p>
    <w:p>
      <w:pPr>
        <w:pStyle w:val="ListBullet"/>
      </w:pPr>
      <w:r>
        <w:t>Compare A-F and A-H separately because their confirmation timing and actionable entry dates differ.</w:t>
      </w:r>
    </w:p>
    <w:p>
      <w:pPr>
        <w:pStyle w:val="ListBullet"/>
      </w:pPr>
      <w:r>
        <w:t>Prefer candidates with adequate sample size and stable median performance over tiny-sample leaders.</w:t>
      </w:r>
    </w:p>
    <w:p>
      <w:pPr>
        <w:pStyle w:val="Heading1"/>
      </w:pPr>
      <w:r>
        <w:t>Screen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tblHeader/>
        </w:trPr>
        <w:tc>
          <w:tcPr>
            <w:tcW w:type="dxa" w:w="93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Screen</w:t>
            </w:r>
          </w:p>
        </w:tc>
        <w:tc>
          <w:tcPr>
            <w:tcW w:type="dxa" w:w="79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Sets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Outcomes</w:t>
            </w:r>
          </w:p>
        </w:tc>
        <w:tc>
          <w:tcPr>
            <w:tcW w:type="dxa" w:w="151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First signal</w:t>
            </w:r>
          </w:p>
        </w:tc>
        <w:tc>
          <w:tcPr>
            <w:tcW w:type="dxa" w:w="151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Last entry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Min N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Eligible sets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A-F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3,698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2022-01-26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2026-05-28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A-H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1,928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2022-01-26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2026-06-05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A-F Balanced Ranking</w:t>
      </w:r>
    </w:p>
    <w:p>
      <w:r>
        <w:t>Eligibility threshold: at least 30 outcomes. Higher average return, median return, win rate, and less-negative average drawdown rank better.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tblHeader/>
        </w:trPr>
        <w:tc>
          <w:tcPr>
            <w:tcW w:type="dxa" w:w="64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Rank</w:t>
            </w:r>
          </w:p>
        </w:tc>
        <w:tc>
          <w:tcPr>
            <w:tcW w:type="dxa" w:w="64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ID</w:t>
            </w:r>
          </w:p>
        </w:tc>
        <w:tc>
          <w:tcPr>
            <w:tcW w:type="dxa" w:w="72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N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Avg return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Median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Win rate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Drawdown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Max return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left"/>
            </w:pPr>
            <w:r>
              <w:rPr>
                <w:sz w:val="16"/>
              </w:rPr>
              <w:t>1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44.34%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17.61%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77.78%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-16.05%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64.42%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2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45.26%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17.09%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77.42%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-15.86%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66.48%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3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44.34%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17.09%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75.76%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-16.67%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65.24%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4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41.82%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16.98%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76.47%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-16.21%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62.37%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5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26.44%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10.57%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65.22%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-21.61%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54.58%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6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27.66%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10.88%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64.20%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-22.45%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55.58%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7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27.09%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10.68%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64.56%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-22.28%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57.18%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8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28.97%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10.88%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64.38%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-22.48%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58.07%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9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25.54%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10.57%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64.77%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-22.22%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54.29%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10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27.12%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10.47%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63.53%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-22.22%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54.58%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11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26.65%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10.10%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62.82%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-21.83%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54.19%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12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29.85%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11.31%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64.29%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-23.16%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59.46%</w:t>
            </w:r>
          </w:p>
        </w:tc>
      </w:tr>
    </w:tbl>
    <w:p>
      <w:pPr>
        <w:spacing w:after="20"/>
      </w:pPr>
    </w:p>
    <w:p>
      <w:pPr>
        <w:pStyle w:val="Heading2"/>
      </w:pPr>
      <w:r>
        <w:t>A-F Parameter Sensitivity</w:t>
      </w:r>
    </w:p>
    <w:p>
      <w:r>
        <w:t>Values below are unweighted means across eligible parameter sets. They show directional sensitivity; overlapping selections mean the rows are correlated.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tblHeader/>
        </w:trPr>
        <w:tc>
          <w:tcPr>
            <w:tcW w:type="dxa" w:w="172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Factor</w:t>
            </w:r>
          </w:p>
        </w:tc>
        <w:tc>
          <w:tcPr>
            <w:tcW w:type="dxa" w:w="64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Val.</w:t>
            </w:r>
          </w:p>
        </w:tc>
        <w:tc>
          <w:tcPr>
            <w:tcW w:type="dxa" w:w="72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Sets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Avg N</w:t>
            </w:r>
          </w:p>
        </w:tc>
        <w:tc>
          <w:tcPr>
            <w:tcW w:type="dxa" w:w="129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Avg return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Median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Win rate</w:t>
            </w:r>
          </w:p>
        </w:tc>
        <w:tc>
          <w:tcPr>
            <w:tcW w:type="dxa" w:w="129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Drawdown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Annual growth %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53.7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21.59%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8.52%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61.04%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-21.51%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Annual growth %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52.2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23.17%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9.96%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62.07%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-22.11%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Quarterly growth %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54.0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21.55%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9.96%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61.73%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-21.68%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Quarterly growth %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51.9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23.22%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8.39%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61.32%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-21.93%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Annual periods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62.9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25.97%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10.65%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64.70%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-21.43%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Annual periods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37.7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16.71%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6.97%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56.60%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-22.37%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Quarterly periods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55.1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28.23%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10.37%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63.12%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-21.15%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Quarterly periods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52.9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18.66%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9.12%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60.93%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-22.75%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Quarterly periods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49.4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16.70%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7.22%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59.47%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-21.67%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Volume ratio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54.9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20.29%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8.45%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60.07%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-22.33%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Volume ratio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33.5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43.94%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17.19%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76.86%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-16.20%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Volume surge days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53.6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24.47%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9.82%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62.52%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-21.30%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Volume surge days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52.2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19.33%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8.35%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60.13%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-22.49%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A-H Balanced Ranking</w:t>
      </w:r>
    </w:p>
    <w:p>
      <w:r>
        <w:t>Eligibility threshold: at least 15 outcomes. Higher average return, median return, win rate, and less-negative average drawdown rank better.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tblHeader/>
        </w:trPr>
        <w:tc>
          <w:tcPr>
            <w:tcW w:type="dxa" w:w="64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Rank</w:t>
            </w:r>
          </w:p>
        </w:tc>
        <w:tc>
          <w:tcPr>
            <w:tcW w:type="dxa" w:w="64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ID</w:t>
            </w:r>
          </w:p>
        </w:tc>
        <w:tc>
          <w:tcPr>
            <w:tcW w:type="dxa" w:w="72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N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Avg return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Median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Win rate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Drawdown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Max return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left"/>
            </w:pPr>
            <w:r>
              <w:rPr>
                <w:sz w:val="16"/>
              </w:rPr>
              <w:t>1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21.83%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12.85%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76.47%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-16.18%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F3EC"/>
          </w:tcPr>
          <w:p>
            <w:pPr>
              <w:jc w:val="center"/>
            </w:pPr>
            <w:r>
              <w:rPr>
                <w:sz w:val="16"/>
              </w:rPr>
              <w:t>39.19%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2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40.60%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12.85%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68.29%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-21.28%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69.77%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3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21.52%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10.87%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68.75%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-17.83%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53.02%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4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19.85%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8.34%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72.22%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-17.34%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37.66%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5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19.87%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8.34%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72.22%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-17.33%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37.02%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6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22.74%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11.19%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66.67%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-18.28%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52.28%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7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19.85%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8.34%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72.22%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-17.34%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37.66%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8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17.99%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11.19%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68.42%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-19.55%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48.02%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9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20.47%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10.55%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64.71%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-16.66%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48.66%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10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19.51%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9.14%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66.67%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-16.35%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49.52%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11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28.65%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11.19%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66.67%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-21.85%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55.49%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12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37.62%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10.20%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68.18%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-21.26%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66.72%</w:t>
            </w:r>
          </w:p>
        </w:tc>
      </w:tr>
    </w:tbl>
    <w:p>
      <w:pPr>
        <w:spacing w:after="20"/>
      </w:pPr>
    </w:p>
    <w:p>
      <w:pPr>
        <w:pStyle w:val="Heading2"/>
      </w:pPr>
      <w:r>
        <w:t>A-H Parameter Sensitivity</w:t>
      </w:r>
    </w:p>
    <w:p>
      <w:r>
        <w:t>Values below are unweighted means across eligible parameter sets. They show directional sensitivity; overlapping selections mean the rows are correlated.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tblHeader/>
        </w:trPr>
        <w:tc>
          <w:tcPr>
            <w:tcW w:type="dxa" w:w="172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Factor</w:t>
            </w:r>
          </w:p>
        </w:tc>
        <w:tc>
          <w:tcPr>
            <w:tcW w:type="dxa" w:w="64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Val.</w:t>
            </w:r>
          </w:p>
        </w:tc>
        <w:tc>
          <w:tcPr>
            <w:tcW w:type="dxa" w:w="72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Sets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Avg N</w:t>
            </w:r>
          </w:p>
        </w:tc>
        <w:tc>
          <w:tcPr>
            <w:tcW w:type="dxa" w:w="129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Avg return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Median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Win rate</w:t>
            </w:r>
          </w:p>
        </w:tc>
        <w:tc>
          <w:tcPr>
            <w:tcW w:type="dxa" w:w="129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0B2545"/>
                <w:sz w:val="17"/>
              </w:rPr>
              <w:t>Drawdown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Annual growth %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26.2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19.57%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5.69%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62.32%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-19.71%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Annual growth %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24.5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22.40%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10.53%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66.57%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-20.75%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Quarterly growth %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26.0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20.25%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6.90%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63.91%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-20.29%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Quarterly growth %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24.7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21.60%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9.13%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64.80%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-20.13%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Annual periods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31.2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25.80%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7.82%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63.75%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-21.24%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Annual periods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17.9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14.73%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8.26%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65.14%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-18.90%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Quarterly periods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27.2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22.18%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7.46%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66.57%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-19.81%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Quarterly periods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25.5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23.75%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7.87%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62.46%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-21.08%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Quarterly periods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22.5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15.91%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8.98%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63.36%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-19.80%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Volume ratio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26.0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20.98%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7.89%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63.58%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-20.49%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Volume ratio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17.8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20.35%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9.47%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73.28%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-17.05%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left"/>
            </w:pPr>
            <w:r>
              <w:rPr>
                <w:sz w:val="16"/>
              </w:rPr>
              <w:t>Volume surge days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26.5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24.24%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8.64%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65.47%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sz w:val="16"/>
              </w:rPr>
              <w:t>-19.47%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sz w:val="16"/>
              </w:rPr>
              <w:t>Volume surge days</w:t>
            </w:r>
          </w:p>
        </w:tc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23.9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16.71%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7.22%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62.95%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sz w:val="16"/>
              </w:rPr>
              <w:t>-21.16%</w:t>
            </w:r>
          </w:p>
        </w:tc>
      </w:tr>
    </w:tbl>
    <w:p>
      <w:pPr>
        <w:spacing w:after="20"/>
      </w:pPr>
    </w:p>
    <w:p>
      <w:pPr>
        <w:pStyle w:val="Heading1"/>
      </w:pPr>
      <w:r>
        <w:t>Interpretation and Next Checks</w:t>
      </w:r>
    </w:p>
    <w:p>
      <w:pPr>
        <w:pStyle w:val="ListBullet"/>
      </w:pPr>
      <w:r>
        <w:t>Inspect yearly and regime-level stability before choosing a parameter set; aggregate performance can hide deterioration.</w:t>
      </w:r>
    </w:p>
    <w:p>
      <w:pPr>
        <w:pStyle w:val="ListBullet"/>
      </w:pPr>
      <w:r>
        <w:t>Review return distributions, worst outcomes, liquidity, transaction costs, and overlapping positions.</w:t>
      </w:r>
    </w:p>
    <w:p>
      <w:pPr>
        <w:pStyle w:val="ListBullet"/>
      </w:pPr>
      <w:r>
        <w:t>Average drawdown is the mean of per-selection drawdowns, not portfolio-level maximum drawdown.</w:t>
      </w:r>
    </w:p>
    <w:p>
      <w:pPr>
        <w:pStyle w:val="ListBullet"/>
      </w:pPr>
      <w:r>
        <w:t>Parameter sets reuse many securities and dates, so simple rank differences do not establish statistical significance.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C6B80"/>
      </w:rPr>
      <w:t>Generated June 10,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C6B80"/>
      </w:rPr>
      <w:t>NASDAQ Stock Recommendation | Backtest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