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BRSR Faithfulness Audit Report</w:t>
      </w:r>
    </w:p>
    <w:p>
      <w:r>
        <w:t>Target Company: Wipro Limited</w:t>
      </w:r>
    </w:p>
    <w:p>
      <w:r>
        <w:t>Focus Area: Principle 6 (Environmental Responsibilities)</w:t>
      </w:r>
    </w:p>
    <w:p>
      <w:r>
        <w:t>Report Generated: 2025-12-25 15:58</w:t>
      </w:r>
    </w:p>
    <w:p>
      <w:pPr>
        <w:pStyle w:val="Heading2"/>
      </w:pPr>
      <w:r>
        <w:t>Code Repository &amp; Notebooks</w:t>
      </w:r>
    </w:p>
    <w:p>
      <w:r>
        <w:t>📁 Full Project Code: [Upload to GitHub and add link here]</w:t>
        <w:br/>
        <w:t>📓 Interactive Analysis: See notebooks/02_analysis.ipynb for Sankey diagram and pipeline execution</w:t>
        <w:br/>
        <w:t>📊 Sankey Visualization: output/sankey_diagram.html (interactive HTML)</w:t>
      </w:r>
    </w:p>
    <w:p>
      <w:r>
        <w:t>________________________________________</w:t>
      </w:r>
    </w:p>
    <w:p>
      <w:pPr>
        <w:pStyle w:val="Heading1"/>
      </w:pPr>
      <w:r>
        <w:t>1. BRSR Reality Check (Summary)</w:t>
      </w:r>
    </w:p>
    <w:p>
      <w:r>
        <w:t>This Faithfulness Audit evaluates the alignment between Wipro's BRSR disclosures and SEBI Principle 6 mandates. The 'Drift Dashboard' below visualizes the fidelity of reporting on a scale of 0 (Verbatim) to 3 (Hallucinated/Vague).</w:t>
      </w:r>
    </w:p>
    <w:p>
      <w:pPr>
        <w:pStyle w:val="Heading1"/>
      </w:pPr>
      <w:r>
        <w:t>2. Drift Dashboard &amp; Audit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SEBI Requirement</w:t>
            </w:r>
          </w:p>
        </w:tc>
        <w:tc>
          <w:tcPr>
            <w:tcW w:type="dxa" w:w="1728"/>
          </w:tcPr>
          <w:p>
            <w:r>
              <w:t>Company Disclosure</w:t>
            </w:r>
          </w:p>
        </w:tc>
        <w:tc>
          <w:tcPr>
            <w:tcW w:type="dxa" w:w="1728"/>
          </w:tcPr>
          <w:p>
            <w:r>
              <w:t>Evidence / Justification</w:t>
            </w:r>
          </w:p>
        </w:tc>
        <w:tc>
          <w:tcPr>
            <w:tcW w:type="dxa" w:w="1728"/>
          </w:tcPr>
          <w:p>
            <w:r>
              <w:t>Drift (0-3)</w:t>
            </w:r>
          </w:p>
        </w:tc>
      </w:tr>
      <w:tr>
        <w:tc>
          <w:tcPr>
            <w:tcW w:type="dxa" w:w="1728"/>
          </w:tcPr>
          <w:p>
            <w:r>
              <w:t>Emissions</w:t>
            </w:r>
          </w:p>
        </w:tc>
        <w:tc>
          <w:tcPr>
            <w:tcW w:type="dxa" w:w="1728"/>
          </w:tcPr>
          <w:p>
            <w:r>
              <w:t>Report Scope 1 &amp; 2 GHG emissions (Metric Tonnes CO2e).</w:t>
            </w:r>
          </w:p>
        </w:tc>
        <w:tc>
          <w:tcPr>
            <w:tcW w:type="dxa" w:w="1728"/>
          </w:tcPr>
          <w:p>
            <w:r>
              <w:t>Scope 1: 9640.0, Scope 2: 59120.0 tCO2e</w:t>
            </w:r>
          </w:p>
        </w:tc>
        <w:tc>
          <w:tcPr>
            <w:tcW w:type="dxa" w:w="1728"/>
          </w:tcPr>
          <w:p>
            <w:r>
              <w:t>STRONG EVIDENCE: Disclosure explicitly cites quantitative data (e.g., Scope 1: 9640.0...) matching the requirement unit.</w:t>
            </w:r>
          </w:p>
        </w:tc>
        <w:tc>
          <w:tcPr>
            <w:tcW w:type="dxa" w:w="1728"/>
          </w:tcPr>
          <w:p>
            <w:r>
              <w:rPr>
                <w:b/>
                <w:color w:val="00FF00"/>
              </w:rPr>
              <w:t>0 (entailment)</w:t>
            </w:r>
          </w:p>
        </w:tc>
      </w:tr>
      <w:tr>
        <w:tc>
          <w:tcPr>
            <w:tcW w:type="dxa" w:w="1728"/>
          </w:tcPr>
          <w:p>
            <w:r>
              <w:t>Water</w:t>
            </w:r>
          </w:p>
        </w:tc>
        <w:tc>
          <w:tcPr>
            <w:tcW w:type="dxa" w:w="1728"/>
          </w:tcPr>
          <w:p>
            <w:r>
              <w:t>Disclose total water consumption and intensity/turnover.</w:t>
            </w:r>
          </w:p>
        </w:tc>
        <w:tc>
          <w:tcPr>
            <w:tcW w:type="dxa" w:w="1728"/>
          </w:tcPr>
          <w:p>
            <w:r>
              <w:t>Total: 878303.07, Intensity: 0.97</w:t>
            </w:r>
          </w:p>
        </w:tc>
        <w:tc>
          <w:tcPr>
            <w:tcW w:type="dxa" w:w="1728"/>
          </w:tcPr>
          <w:p>
            <w:r>
              <w:t>PARTIAL EVIDENCE: Data reported but may lack specific granularity or unit alignment.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2 (neutral)</w:t>
            </w:r>
          </w:p>
        </w:tc>
      </w:tr>
      <w:tr>
        <w:tc>
          <w:tcPr>
            <w:tcW w:type="dxa" w:w="1728"/>
          </w:tcPr>
          <w:p>
            <w:r>
              <w:t>Waste</w:t>
            </w:r>
          </w:p>
        </w:tc>
        <w:tc>
          <w:tcPr>
            <w:tcW w:type="dxa" w:w="1728"/>
          </w:tcPr>
          <w:p>
            <w:r>
              <w:t>Report total waste (Hazardous/Non-Hazardous) &amp; Recycling %.</w:t>
            </w:r>
          </w:p>
        </w:tc>
        <w:tc>
          <w:tcPr>
            <w:tcW w:type="dxa" w:w="1728"/>
          </w:tcPr>
          <w:p>
            <w:r>
              <w:t>Total: 4478.0, Hazardous: 23.0</w:t>
            </w:r>
          </w:p>
        </w:tc>
        <w:tc>
          <w:tcPr>
            <w:tcW w:type="dxa" w:w="1728"/>
          </w:tcPr>
          <w:p>
            <w:r>
              <w:t>PARTIAL EVIDENCE: Data reported but may lack specific granularity or unit alignment.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2 (neutral)</w:t>
            </w:r>
          </w:p>
        </w:tc>
      </w:tr>
    </w:tbl>
    <w:p>
      <w:r>
        <w:br/>
        <w:t>*Drift Key: 0=Green (Faithful), 3=Red (Drift)*</w:t>
      </w:r>
    </w:p>
    <w:p>
      <w:pPr>
        <w:pStyle w:val="Heading1"/>
      </w:pPr>
      <w:r>
        <w:t>3. Supporting Citations &amp; Initiatives</w:t>
      </w:r>
    </w:p>
    <w:p>
      <w:r>
        <w:t>The following extractions serve as source evidence for the audit:</w:t>
      </w:r>
    </w:p>
    <w:p>
      <w:pPr>
        <w:pStyle w:val="ListBullet"/>
      </w:pPr>
      <w:r>
        <w:t>• Net Zero GHG emissions by 2040</w:t>
      </w:r>
    </w:p>
    <w:p>
      <w:pPr>
        <w:pStyle w:val="ListBullet"/>
      </w:pPr>
      <w:r>
        <w:t>• 100% RE for all owned facilities by 2030</w:t>
      </w:r>
    </w:p>
    <w:p>
      <w:pPr>
        <w:pStyle w:val="ListBullet"/>
      </w:pPr>
      <w:r>
        <w:t>• Improve freshwater use efficiency by 65% by 2030</w:t>
      </w:r>
    </w:p>
    <w:p>
      <w:pPr>
        <w:pStyle w:val="ListBullet"/>
      </w:pPr>
      <w:r>
        <w:t>• Zero Liquid Discharge across all locations</w:t>
      </w:r>
    </w:p>
    <w:p>
      <w:pPr>
        <w:pStyle w:val="Heading1"/>
      </w:pPr>
      <w:r>
        <w:t>4. Sankey Diagram: Evidence Flow</w:t>
      </w:r>
    </w:p>
    <w:p>
      <w:r>
        <w:t>Visual representation of SEBI Requirements → Company Disclosures → Drift Scores:</w:t>
      </w:r>
    </w:p>
    <w:p>
      <w:r>
        <w:t>📊 Interactive Sankey diagram has been saved to: output/sankey_diagram.html</w:t>
        <w:br/>
        <w:t>To view: Open the HTML file in your browser. To embed in this document: Take a screenshot and insert manually.</w:t>
      </w:r>
    </w:p>
    <w:p>
      <w:pPr>
        <w:pStyle w:val="Heading1"/>
      </w:pPr>
      <w:r>
        <w:t>5. AI &amp; RAG Concepts Employed</w:t>
      </w:r>
    </w:p>
    <w:p>
      <w:r>
        <w:rPr>
          <w:b/>
        </w:rPr>
        <w:t xml:space="preserve">Structured Extraction (Schema Enforcement): </w:t>
      </w:r>
      <w:r>
        <w:t>Used Pydantic V2 schemas to force the LLM (GPT-4o) to output strictly typed JSON data (Emissions, Water, Waste) instead of unstructured text, ensuring 100% data compatibility.</w:t>
      </w:r>
    </w:p>
    <w:p>
      <w:r>
        <w:rPr>
          <w:b/>
        </w:rPr>
        <w:t xml:space="preserve">Retrieval Augmented Generation (RAG) Chunking: </w:t>
      </w:r>
      <w:r>
        <w:t>Implemented 'RecursiveCharacterTextSplitter' to break large BRSR PDFs into semantically meaningful 2000-character chunks with page-level metadata for precise citation.</w:t>
      </w:r>
    </w:p>
    <w:p>
      <w:r>
        <w:rPr>
          <w:b/>
        </w:rPr>
        <w:t xml:space="preserve">Veritas-style Drift Evaluation (NLI): </w:t>
      </w:r>
      <w:r>
        <w:t>Deployed a local Cross-Encoder (nli-deberta-v3-small) to calculate 'Groundedness' scores. This determines if the Company's claims are logically entailed by the SEBI requirements, detecting 'Drift' (Hallucination/Token Deviation).</w:t>
      </w:r>
    </w:p>
    <w:p>
      <w:r>
        <w:rPr>
          <w:b/>
        </w:rPr>
        <w:t xml:space="preserve">Zero-Shot Classification: </w:t>
      </w:r>
      <w:r>
        <w:t>Utilized pre-trained NLI models to classify text segments as 'Entailment', 'Neutral', or 'Contradiction' without fine-tuning on specific ESG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