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69"/>
      </w:pPr>
      <w:r>
        <w:rPr>
          <w:rFonts w:ascii="맑은 고딕" w:hAnsi="맑은 고딕" w:eastAsia="맑은 고딕"/>
          <w:b/>
          <w:color w:val="1D5C7C"/>
          <w:sz w:val="18"/>
        </w:rPr>
        <w:t>보고자료</w:t>
      </w:r>
    </w:p>
    <w:p>
      <w:pPr>
        <w:spacing w:before="0" w:after="40" w:lineRule="auto" w:line="264"/>
      </w:pPr>
      <w:r>
        <w:rPr>
          <w:rFonts w:ascii="맑은 고딕" w:hAnsi="맑은 고딕" w:eastAsia="맑은 고딕"/>
          <w:b/>
          <w:color w:val="15232A"/>
          <w:sz w:val="36"/>
        </w:rPr>
        <w:t>세종 생활권 진단 상황판 구축과 활용방안</w:t>
      </w:r>
    </w:p>
    <w:p>
      <w:pPr>
        <w:spacing w:before="0" w:after="120" w:lineRule="auto" w:line="269"/>
      </w:pPr>
      <w:r>
        <w:rPr>
          <w:rFonts w:ascii="맑은 고딕" w:hAnsi="맑은 고딕" w:eastAsia="맑은 고딕"/>
          <w:b w:val="0"/>
          <w:color w:val="4B5B62"/>
          <w:sz w:val="22"/>
        </w:rPr>
        <w:t>행복도시 생활권 재구조화 검토를 위한 지표·지도 기반 진단 체계</w:t>
      </w:r>
    </w:p>
    <w:p>
      <w:pPr>
        <w:spacing w:before="0" w:after="20" w:lineRule="auto" w:line="269"/>
      </w:pPr>
      <w:r>
        <w:rPr>
          <w:rFonts w:ascii="맑은 고딕" w:hAnsi="맑은 고딕" w:eastAsia="맑은 고딕"/>
          <w:b w:val="0"/>
          <w:color w:val="4B5B62"/>
          <w:sz w:val="18"/>
        </w:rPr>
        <w:t>2026. 9. │ 세종연구원 연구모임(김성표, 안용준, 김흥주, 남영식, 이재민, 송양호, 이자은)</w:t>
      </w:r>
    </w:p>
    <w:p>
      <w:pPr>
        <w:spacing w:before="0" w:after="160" w:lineRule="auto" w:line="269"/>
      </w:pPr>
      <w:r>
        <w:rPr>
          <w:rFonts w:ascii="맑은 고딕" w:hAnsi="맑은 고딕" w:eastAsia="맑은 고딕"/>
          <w:b w:val="0"/>
          <w:color w:val="4B5B62"/>
          <w:sz w:val="18"/>
        </w:rPr>
        <w:t>상황판 https://ysong86.github.io/zone_sejong/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D5C7C"/>
          <w:left w:val="single" w:sz="8" w:color="1D5C7C"/>
          <w:bottom w:val="single" w:sz="8" w:color="1D5C7C"/>
          <w:right w:val="single" w:sz="8" w:color="1D5C7C"/>
          <w:insideH w:val="single" w:sz="8" w:color="1D5C7C"/>
          <w:insideV w:val="single" w:sz="8" w:color="1D5C7C"/>
        </w:tblBorders>
        <w:tblCellMar>
          <w:top w:w="110" w:type="dxa"/>
          <w:left w:w="160" w:type="dxa"/>
          <w:bottom w:w="110" w:type="dxa"/>
          <w:right w:w="160" w:type="dxa"/>
        </w:tblCellMar>
      </w:tblPr>
      <w:tblGrid>
        <w:gridCol w:w="9638"/>
      </w:tblGrid>
      <w:tr>
        <w:tc>
          <w:tcPr>
            <w:tcW w:type="dxa" w:w="9638"/>
            <w:shd w:val="clear" w:color="auto" w:fill="F2F6F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D5C7C"/>
                <w:sz w:val="21"/>
              </w:rPr>
              <w:t>요 약</w:t>
            </w:r>
          </w:p>
          <w:p>
            <w:pPr>
              <w:spacing w:before="0" w:after="40" w:lineRule="auto" w:line="269"/>
              <w:ind w:left="255" w:hanging="255"/>
            </w:pP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 xml:space="preserve">○ 행복도시 6개 생활권 체계를 경계조정이 아니라 </w:t>
            </w:r>
            <w:r>
              <w:rPr>
                <w:rFonts w:ascii="맑은 고딕" w:hAnsi="맑은 고딕" w:eastAsia="맑은 고딕"/>
                <w:b/>
                <w:color w:val="15232A"/>
                <w:sz w:val="19"/>
              </w:rPr>
              <w:t>① 개발·건설 진척도 → ② 계획기능 실현도 → ③ 생활권 간 연계 → ④ 국가중추·광역 관계</w:t>
            </w: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 xml:space="preserve"> 네 단계로 진단하는 지표·지도 상황판을 구축함. 조성 중인 생활권은 진척도 대비 형성도로 봄</w:t>
            </w:r>
          </w:p>
          <w:p>
            <w:pPr>
              <w:spacing w:before="0" w:after="40" w:lineRule="auto" w:line="269"/>
              <w:ind w:left="255" w:hanging="255"/>
            </w:pP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 xml:space="preserve">○ 공공 API 15종, KTDB 통행 OD, 도서관 표준데이터로 지표 25개 중 </w:t>
            </w:r>
            <w:r>
              <w:rPr>
                <w:rFonts w:ascii="맑은 고딕" w:hAnsi="맑은 고딕" w:eastAsia="맑은 고딕"/>
                <w:b/>
                <w:color w:val="15232A"/>
                <w:sz w:val="19"/>
              </w:rPr>
              <w:t>25개를 실측화</w:t>
            </w: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 xml:space="preserve">하고, 행정동 25곳 단위 지도와 건축물대장(39,178동) 연면적 기반 </w:t>
            </w:r>
            <w:r>
              <w:rPr>
                <w:rFonts w:ascii="맑은 고딕" w:hAnsi="맑은 고딕" w:eastAsia="맑은 고딕"/>
                <w:b/>
                <w:color w:val="15232A"/>
                <w:sz w:val="19"/>
              </w:rPr>
              <w:t>생활권별 기능 특화도(LQ)</w:t>
            </w: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>를 산정함</w:t>
            </w:r>
          </w:p>
          <w:p>
            <w:pPr>
              <w:spacing w:before="0" w:after="40" w:lineRule="auto" w:line="269"/>
              <w:ind w:left="255" w:hanging="255"/>
            </w:pP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 xml:space="preserve">○ 시범 진단 결과 1·3·4생활권은 계획기능이 뚜렷하게 형성(LQ 3.7·6.6·3.2)된 반면, 조성 중인 </w:t>
            </w:r>
            <w:r>
              <w:rPr>
                <w:rFonts w:ascii="맑은 고딕" w:hAnsi="맑은 고딕" w:eastAsia="맑은 고딕"/>
                <w:b/>
                <w:color w:val="15232A"/>
                <w:sz w:val="19"/>
              </w:rPr>
              <w:t>6생활권은 주거 입주 대비 첨단지식기반 기능(LQ 0.04)이 뒤따르지 못하고, 5생활권은 초기 조성 단계</w:t>
            </w: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>라 '조성단계 점검' 대상으로 분류. 의료 기능은 1·2생활권에 집중</w:t>
            </w:r>
          </w:p>
          <w:p>
            <w:pPr>
              <w:spacing w:before="0" w:after="40" w:lineRule="auto" w:line="269"/>
              <w:ind w:left="255" w:hanging="255"/>
            </w:pPr>
            <w:r>
              <w:rPr>
                <w:rFonts w:ascii="맑은 고딕" w:hAnsi="맑은 고딕" w:eastAsia="맑은 고딕"/>
                <w:b w:val="0"/>
                <w:color w:val="15232A"/>
                <w:sz w:val="19"/>
              </w:rPr>
              <w:t>○ 상황판은 재구조화 논의의 공통 근거, 생활SOC 우선순위 판단, 생활권 계획의 정기 모니터링 도구로 활용 가능</w:t>
            </w:r>
          </w:p>
        </w:tc>
      </w:tr>
    </w:tbl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1. 검토 배경과 목적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배경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행복도시는 중앙녹지를 비워 두고 그 둘레에 6개 기능 생활권(중앙행정, 문화·국제교류, 도시행정, 대학·연구, 의료·복지, 첨단지식기반)을 배치한 환상형 다핵 구조로 계획됨(21개 기초생활권, 2~3만 명 단위)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조성 20년이 지나며 ① 국회세종의사당·대통령 세종집무실 등 국가중추기능의 입지 확정, ② 생활권별 조성 속도와 기능 형성의 편차, ③ 대전·청주 등 광역권과의 관계 변화가 겹쳐 기존 생활권 체계의 적합성을 다시 볼 필요가 커짐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연구원 내부 논의에서 단순한 경계조정보다 </w:t>
      </w:r>
      <w:r>
        <w:rPr>
          <w:rFonts w:ascii="맑은 고딕" w:hAnsi="맑은 고딕" w:eastAsia="맑은 고딕"/>
          <w:b/>
          <w:color w:val="15232A"/>
          <w:sz w:val="19"/>
        </w:rPr>
        <w:t>생활권별 기능 재정립, 생활권 간 연계 강화, 국가중추기능 및 광역권과의 관계 재설정</w:t>
      </w:r>
      <w:r>
        <w:rPr>
          <w:rFonts w:ascii="맑은 고딕" w:hAnsi="맑은 고딕" w:eastAsia="맑은 고딕"/>
          <w:b w:val="0"/>
          <w:color w:val="15232A"/>
          <w:sz w:val="19"/>
        </w:rPr>
        <w:t xml:space="preserve"> 관점의 접근이 필요하다는 데 의견이 모임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목적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생활권 체계의 현재 상태를 공공데이터로 반복 측정할 수 있는 진단 틀과 상황판(웹)을 마련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재구조화 논의에서 공통으로 쓸 근거(지표·지도)와 이론에 기반한 개선방향 초안을 제시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2. 진단 틀: 네 단계와 이론 근거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① 개발·건설 진척도 → ② 계획기능 실현도 → ③ 생활권 간 연계 → ④ 국가중추·광역 관계 순으로 진단함. 진척도를 먼저 보는 것은 아직 조성 중인 생활권(4·5·6)을 성숙 생활권(1·2·3)과 같은 잣대로 판정하지 않기 위함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국내외 도시계획 이론을 단계별로 대응시키고, 이론이 요구하는 측정 대상을 공공데이터 지표로 옮겼음</w:t>
      </w:r>
    </w:p>
    <w:p>
      <w:pPr>
        <w:spacing w:before="120" w:after="60" w:lineRule="auto" w:line="269"/>
      </w:pPr>
      <w:r>
        <w:rPr>
          <w:rFonts w:ascii="맑은 고딕" w:hAnsi="맑은 고딕" w:eastAsia="맑은 고딕"/>
          <w:b/>
          <w:color w:val="4B5B62"/>
          <w:sz w:val="17"/>
        </w:rPr>
        <w:t>&lt;표 1&gt; 진단 단계별 핵심 질문·이론 근거·지표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8"/>
          <w:left w:val="single" w:sz="4" w:color="B8C4C8"/>
          <w:bottom w:val="single" w:sz="4" w:color="B8C4C8"/>
          <w:right w:val="single" w:sz="4" w:color="B8C4C8"/>
          <w:insideH w:val="single" w:sz="4" w:color="B8C4C8"/>
          <w:insideV w:val="single" w:sz="4" w:color="B8C4C8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304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검토축</w:t>
            </w:r>
          </w:p>
        </w:tc>
        <w:tc>
          <w:tcPr>
            <w:tcW w:type="dxa" w:w="2211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핵심 질문</w:t>
            </w:r>
          </w:p>
        </w:tc>
        <w:tc>
          <w:tcPr>
            <w:tcW w:type="dxa" w:w="2835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이론 근거</w:t>
            </w:r>
          </w:p>
        </w:tc>
        <w:tc>
          <w:tcPr>
            <w:tcW w:type="dxa" w:w="3288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주요 지표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① 개발·건설</w:t>
              <w:br/>
              <w:t>진척도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생활권이 어느 조성 단계에 있는가(판정 잣대를 정하는 선행 단계)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행복도시 단계별 조성 계획(행정중심복합도시건설청)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최근 5년 준공 비중, 준공 주택 대비 입주, 시가지화율, 주거 대비 계획기능 연면적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② 계획기능</w:t>
              <w:br/>
              <w:t>실현도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생활권마다 계획된 기능이 실제로 형성되었는가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중심지이론(Christaller, 1933)</w:t>
              <w:br/>
              <w:t>다핵도시권 기능 분업(Parr, 2004)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기능 특화도(LQ), 직주비(종사자 ÷ 인구), 비주거 연면적 비중, 기능혼합도, 인구 1천 명당 점포, 인구 1만 명당 의사, 인구·연령 구조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③ 생활권 간</w:t>
              <w:br/>
              <w:t>연계 강화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생활권이 스스로 채워지고 서로 이어지는가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근린주구(Perry, 1929)</w:t>
              <w:br/>
              <w:t>15분 도시(Moreno et al., 2021)</w:t>
              <w:br/>
              <w:t>형태적·기능적 다핵성(Burger &amp; Meijers, 2012)</w:t>
              <w:br/>
              <w:t>노드–장소 모형(Bertolini, 1999)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15분 생활서비스, 초등학교 도보 10분, 정류장 400m 커버리지, BRT 도보시간, 도서관 15분 커버리지, 공공체육시설, 생활권 간 통행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④ 국가중추·</w:t>
              <w:br/>
              <w:t>광역 관계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국가중추기능과 광역 관계가 생활권 위계에 담겨 있는가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차용 규모(Meijers &amp; Burger, 2017)</w:t>
              <w:br/>
              <w:t>세종 공간구조 변화(변은주 외, 2023)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공공·연구 연면적 비중, ㎡당 아파트 매매가, 시외 통근, 광역 통행</w:t>
            </w:r>
          </w:p>
        </w:tc>
      </w:tr>
    </w:tbl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지표는 통행과 건조환경의 메타분석(Ewing &amp; Cervero, 2010)이 제시한 5D(밀도·다양성·설계·목적지 접근성·대중교통 거리)에 맞춰 골랐고, 접근성은 Hansen(1959)의 정의와 2단계 유동집수역법(Luo &amp; Wang, 2003)을 참고함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환상형 다핵 구조의 원형인 사회도시(Howard, 1902)는 '녹지로 나뉜 여러 중심이 교통으로 이어져 하나로 작동'하는지를 보라는 점에서 B축의 판단 기준으로 삼음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3. 자료와 지표 구성</w:t>
      </w:r>
    </w:p>
    <w:p>
      <w:pPr>
        <w:spacing w:before="120" w:after="60" w:lineRule="auto" w:line="269"/>
      </w:pPr>
      <w:r>
        <w:rPr>
          <w:rFonts w:ascii="맑은 고딕" w:hAnsi="맑은 고딕" w:eastAsia="맑은 고딕"/>
          <w:b/>
          <w:color w:val="4B5B62"/>
          <w:sz w:val="17"/>
        </w:rPr>
        <w:t>&lt;표 2&gt; 연동 자료와 산출 지표 (2026. 9. 24. 수집)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8"/>
          <w:left w:val="single" w:sz="4" w:color="B8C4C8"/>
          <w:bottom w:val="single" w:sz="4" w:color="B8C4C8"/>
          <w:right w:val="single" w:sz="4" w:color="B8C4C8"/>
          <w:insideH w:val="single" w:sz="4" w:color="B8C4C8"/>
          <w:insideV w:val="single" w:sz="4" w:color="B8C4C8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38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자료</w:t>
            </w:r>
          </w:p>
        </w:tc>
        <w:tc>
          <w:tcPr>
            <w:tcW w:type="dxa" w:w="1701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제공기관</w:t>
            </w:r>
          </w:p>
        </w:tc>
        <w:tc>
          <w:tcPr>
            <w:tcW w:type="dxa" w:w="2154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규모·기준시점</w:t>
            </w:r>
          </w:p>
        </w:tc>
        <w:tc>
          <w:tcPr>
            <w:tcW w:type="dxa" w:w="3345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산출 지표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행정동별 주민등록 인구·세대, 성·연령별 인구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행정안전부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행정동 25곳, 2026. 8. 말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인구, 1년 증감률, 세대당 인구, 60세 이상·0~19세 비중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상가(상권)정보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소상공인시장진흥공단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점포 15,816곳, 2026. 6.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기능혼합도, 1천 명당 점포, 15분 생활서비스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버스정류소정보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국토교통부(TAGO)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정류장 1,286곳(BRT 146곳)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정류장 400m 커버리지, BRT 도보시간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아파트 매매 실거래가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국토교통부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4,927건(최근 12개월)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㎡당 매매가 중앙값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병원정보서비스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건강보험심사평가원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의료기관 470곳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1만 명당 의사, 15분 서비스(의원)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전국체육시설 정보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국민체육진흥공단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정상운영 765곳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1만 명당 공공체육시설, 15분 서비스(운동)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전국도서관표준데이터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공공데이터포털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도서관 24곳(2025. 08.)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도서관 15분 커버리지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건축물대장정보(표제부)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국토교통부(건축HUB)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39,178동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기능 특화도(LQ), 비주거·공공연구 연면적 비중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행정중심복합도시 집합상가 전수조사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세종연구원(자체 조사)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집합상가 287동, 2023·2025년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상가 공실률(행복도시 동·생활권)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상업용부동산 임대동향(R-ONE)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한국부동산원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표본 상권 3곳, 2026년 2분기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상가 공실률(조치원읍)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여객 기종점 통행량(목적·주수단 OD)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국가교통DB(KTDB)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대전세종충청권 2024, 세종 행정동 24존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생활권 간 통행, 다른 생활권 통행, 시외 통근, 대중교통 분담률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주택인허가정보(사업계획승인)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국토교통부(건축HUB)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30세대 이상 단지, 승인 후 입주 전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주택 파이프라인, 입주 예정 연도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건축인허가정보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국토교통부(건축HUB)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2018년 이후 허가·미준공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건설 파이프라인(착공 중·허가), 건설 진척률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사업체 통계(SGIS)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통계청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2024년, 행정동별 종사자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직주비(종사자 ÷ 인구)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인구총조사 통근·통학(KOSIS)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통계청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2020년, 세종 유출 61,747명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광역 통근·통학 흐름(대전·청주·공주·천안 등)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학교기본정보(NEIS)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교육부(좌표: 브이월드)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학교 109곳(초등 55곳)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초등학교 도보 10분(800m) 커버리지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도시공원정보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세종특별자치시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공원 70곳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지도 표출(시 관리분만 수록돼 지표 미사용)</w:t>
            </w:r>
          </w:p>
        </w:tc>
      </w:tr>
    </w:tbl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산정 원칙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공간단위</w:t>
      </w:r>
      <w:r>
        <w:rPr>
          <w:rFonts w:ascii="맑은 고딕" w:hAnsi="맑은 고딕" w:eastAsia="맑은 고딕"/>
          <w:b w:val="0"/>
          <w:color w:val="15232A"/>
          <w:sz w:val="19"/>
        </w:rPr>
        <w:t>: 인구 통계가 행정동 단위로 공표되므로 행정동 25곳(도담·어진동 합산)을 기본 단위로 하고, 생활권 경계는 구성 법정동을 합쳐 구성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거주지 대용</w:t>
      </w:r>
      <w:r>
        <w:rPr>
          <w:rFonts w:ascii="맑은 고딕" w:hAnsi="맑은 고딕" w:eastAsia="맑은 고딕"/>
          <w:b w:val="0"/>
          <w:color w:val="15232A"/>
          <w:sz w:val="19"/>
        </w:rPr>
        <w:t>: 행정동 안 120m 격자점 가운데 점포·정류장 300m 이내 점을 '시가지 격자점'으로 두고 접근성 지표를 평균. 도보 15분은 직선 1km(우회계수 1.25, 시속 4.8km)로 환산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기능 특화도</w:t>
      </w:r>
      <w:r>
        <w:rPr>
          <w:rFonts w:ascii="맑은 고딕" w:hAnsi="맑은 고딕" w:eastAsia="맑은 고딕"/>
          <w:b w:val="0"/>
          <w:color w:val="15232A"/>
          <w:sz w:val="19"/>
        </w:rPr>
        <w:t>: 건축물 주용도를 6개 기능으로 분류해 생활권별 연면적 입지계수(LQ = 생활권 내 기능 비중 ÷ 세종 전체 기능 비중)를 산정. 초·중·고·학원은 어느 생활권에나 있는 생활시설로 보아 제외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보정</w:t>
      </w:r>
      <w:r>
        <w:rPr>
          <w:rFonts w:ascii="맑은 고딕" w:hAnsi="맑은 고딕" w:eastAsia="맑은 고딕"/>
          <w:b w:val="0"/>
          <w:color w:val="15232A"/>
          <w:sz w:val="19"/>
        </w:rPr>
        <w:t>: 정부세종청사 본관은 건축물대장에 등재돼 있지 않아, 공표 연면적(836,999㎡, 정부청사관리본부)과 등재분의 차이(약 68만㎡)를 1생활권 중앙행정 연면적에 더함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한계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연령 통계가 10세 단위라 고령은 60세 이상, 유소년은 0~19세로 산정. 집현동 행정동이 4·5생활권을 함께 관할해 5생활권 인구를 따로 뗄 수 없음. 5생활권은 등재 건물 연면적이 0.6만㎡에 그쳐 LQ가 몇 동에 좌우됨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지표는 모두 실측이나, 상가 공실률은 행복도시 동은 세종연구원 집합상가 전수조사, 조치원읍은 부동산원 표본 상권 값이라 출처가 다르고(전수조사가 없는 집현·합강·산울동 등은 빈칸), KTDB OD 는 모형으로 추정한 통행량(2024 기준)이며 집현동이 분동 전이라 반곡동 존에 포함됨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4. 진단 과정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상황판은 아래 다섯 단계를 한 번에 수행하며, 명령 한 줄(run.py --collect --live)로 전체를 다시 계산함</w:t>
      </w:r>
    </w:p>
    <w:p>
      <w:pPr>
        <w:spacing w:before="120" w:after="60" w:lineRule="auto" w:line="269"/>
      </w:pPr>
      <w:r>
        <w:rPr>
          <w:rFonts w:ascii="맑은 고딕" w:hAnsi="맑은 고딕" w:eastAsia="맑은 고딕"/>
          <w:b/>
          <w:color w:val="4B5B62"/>
          <w:sz w:val="17"/>
        </w:rPr>
        <w:t>&lt;표 3&gt; 진단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8"/>
          <w:left w:val="single" w:sz="4" w:color="B8C4C8"/>
          <w:bottom w:val="single" w:sz="4" w:color="B8C4C8"/>
          <w:right w:val="single" w:sz="4" w:color="B8C4C8"/>
          <w:insideH w:val="single" w:sz="4" w:color="B8C4C8"/>
          <w:insideV w:val="single" w:sz="4" w:color="B8C4C8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304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단계</w:t>
            </w:r>
          </w:p>
        </w:tc>
        <w:tc>
          <w:tcPr>
            <w:tcW w:type="dxa" w:w="5216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내용</w:t>
            </w:r>
          </w:p>
        </w:tc>
        <w:tc>
          <w:tcPr>
            <w:tcW w:type="dxa" w:w="3118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결과물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① 자료 수집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공공 API 호출(월 1회 권장), 원자료 보관. 일시 오류는 자동 재시도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원자료(인구·점포·정류장·건축물 등)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② 공간 결합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좌표 자료는 행정동 면에 점 포함 판정, 코드 자료는 행정동코드·법정동명으로 결합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행정동별 자료표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③ 지표 산정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행정동별 실측 지표 25개, 생활권별 기능 특화도(LQ) 계산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지표 지도, 순위표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④ 교차 진단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조성 단계를 먼저 매기고, 성숙 생활권은 계획기능 LQ로, 조성 중 생활권은 주거 대비 계획기능 연면적으로 판정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유지·고도화 / 보강 / 전환·재정의 / 조성단계 점검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⑤ 방향 연결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판정 결과를 이론 근거가 붙은 개선방향 9개와 점검 지표로 연결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7"/>
              </w:rPr>
              <w:t>축별 개선방향, 해외 사례</w:t>
            </w:r>
          </w:p>
        </w:tc>
      </w:tr>
    </w:tbl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화면은 세 축 요약 → 지표 지도(지표 선택·5분위 채색·동별 상세) → 생활권 진단 카드(방사형 그래프) → 연계 구조 → 이론 틀 → 개선방향 → 자료원 연동 상태 순으로 구성해, 요약에서 근거까지 내려가며 읽을 수 있게 함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5. 시범 진단 결과</w:t>
      </w:r>
    </w:p>
    <w:p>
      <w:pPr>
        <w:spacing w:before="120" w:after="60" w:lineRule="auto" w:line="269"/>
      </w:pPr>
      <w:r>
        <w:rPr>
          <w:rFonts w:ascii="맑은 고딕" w:hAnsi="맑은 고딕" w:eastAsia="맑은 고딕"/>
          <w:b/>
          <w:color w:val="4B5B62"/>
          <w:sz w:val="17"/>
        </w:rPr>
        <w:t>&lt;표 4&gt; 생활권별 진단 요약 (실측)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8"/>
          <w:left w:val="single" w:sz="4" w:color="B8C4C8"/>
          <w:bottom w:val="single" w:sz="4" w:color="B8C4C8"/>
          <w:right w:val="single" w:sz="4" w:color="B8C4C8"/>
          <w:insideH w:val="single" w:sz="4" w:color="B8C4C8"/>
          <w:insideV w:val="single" w:sz="4" w:color="B8C4C8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cantSplit/>
        </w:trPr>
        <w:tc>
          <w:tcPr>
            <w:tcW w:type="dxa" w:w="1077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생활권</w:t>
            </w:r>
          </w:p>
        </w:tc>
        <w:tc>
          <w:tcPr>
            <w:tcW w:type="dxa" w:w="1984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계획기능</w:t>
            </w:r>
          </w:p>
        </w:tc>
        <w:tc>
          <w:tcPr>
            <w:tcW w:type="dxa" w:w="907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계획기능</w:t>
              <w:br/>
              <w:t>LQ</w:t>
            </w:r>
          </w:p>
        </w:tc>
        <w:tc>
          <w:tcPr>
            <w:tcW w:type="dxa" w:w="850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인구</w:t>
              <w:br/>
              <w:t>(만 명)</w:t>
            </w:r>
          </w:p>
        </w:tc>
        <w:tc>
          <w:tcPr>
            <w:tcW w:type="dxa" w:w="1077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15분 서비스</w:t>
              <w:br/>
              <w:t>(종/8)</w:t>
            </w:r>
          </w:p>
        </w:tc>
        <w:tc>
          <w:tcPr>
            <w:tcW w:type="dxa" w:w="907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도서관</w:t>
              <w:br/>
              <w:t>15분</w:t>
            </w:r>
          </w:p>
        </w:tc>
        <w:tc>
          <w:tcPr>
            <w:tcW w:type="dxa" w:w="1020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의사</w:t>
              <w:br/>
              <w:t>(1만 명당)</w:t>
            </w:r>
          </w:p>
        </w:tc>
        <w:tc>
          <w:tcPr>
            <w:tcW w:type="dxa" w:w="1247"/>
            <w:vAlign w:val="center"/>
            <w:shd w:val="clear" w:color="auto" w:fill="E1ECF1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15232A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1생활권</w:t>
              <w:br/>
              <w:t>(성숙)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중앙행정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3.68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12.1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7.9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88%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26.4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유지·고도화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2생활권</w:t>
              <w:br/>
              <w:t>(성숙)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문화·국제교류(중심상업)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1.14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8.5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7.8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89%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23.2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전환·재정의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3생활권</w:t>
              <w:br/>
              <w:t>(성숙)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도시행정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6.64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5.1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8.0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97%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16.4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유지·고도화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4생활권</w:t>
              <w:br/>
              <w:t>(조성 중)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대학·연구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3.18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2.9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6.7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47%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9.8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보강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5생활권</w:t>
              <w:br/>
              <w:t>(초기 조성)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의료·복지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0.00*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조성단계 점검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6생활권</w:t>
              <w:br/>
              <w:t>(조성 중)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첨단지식기반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0.04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2.4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6.1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40%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8.3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조성단계 점검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S생활권</w:t>
              <w:br/>
              <w:t>(초기 조성)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국가상징·중앙녹지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보강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읍면지역</w:t>
              <w:br/>
              <w:t>(성숙)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부도심(조치원)·지역중심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8.1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5.2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20%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16.2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5232A"/>
                <w:sz w:val="16"/>
              </w:rPr>
              <w:t>보강</w:t>
            </w:r>
          </w:p>
        </w:tc>
      </w:tr>
    </w:tbl>
    <w:p>
      <w:pPr>
        <w:spacing w:before="40" w:after="120" w:lineRule="auto" w:line="269"/>
      </w:pPr>
      <w:r>
        <w:rPr>
          <w:rFonts w:ascii="맑은 고딕" w:hAnsi="맑은 고딕" w:eastAsia="맑은 고딕"/>
          <w:b w:val="0"/>
          <w:color w:val="4B5B62"/>
          <w:sz w:val="16"/>
        </w:rPr>
        <w:t>주: 인구·15분 서비스 등은 행정동 인구가중 평균. 4생활권 인구에는 집현동 행정동이 관할하는 5생활권(합강·다솜·용호) 인구가 포함됨. * 등재 연면적 0.6만㎡로 몇 동에 좌우되는 값. S생활권은 거주인구가 거의 없음.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주요 진단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조성 단계의 차이</w:t>
      </w:r>
      <w:r>
        <w:rPr>
          <w:rFonts w:ascii="맑은 고딕" w:hAnsi="맑은 고딕" w:eastAsia="맑은 고딕"/>
          <w:b w:val="0"/>
          <w:color w:val="15232A"/>
          <w:sz w:val="19"/>
        </w:rPr>
        <w:t>: 최근 5년 준공 연면적 비중이 1~3생활권 10·13·8%인 반면 4생활권 58%, 6생활권 67%로 한창 조성 중이고, 5생활권은 준공 건물이 거의 없는 초기 조성 단계. 6생활권은 주택 입주율이 94%에 이르렀지만 주거 대비 첨단기능 연면적은 0.5%로 성숙 생활권 평균(11%)에 크게 못 미치고, 허가·착공 중인 물량(20.1만㎡)에도 첨단기능 용도가 없음 — '주거 조성 대비 첨단지식기반 기능 형성도' 점검 대상. 5생활권은 건설 진척률 5%로 조성 초입이며, 사업계획승인 후 입주 전인 공동주택이 6,428세대(입주 예정 2026년 200, 2027년 2,007, 2028년 1,354, 2029년 2,867)로 주거가 먼저 들어올 예정 — 의료·복지 기능이 이 입주 속도를 따라오는지가 점검 포인트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계획기능 형성의 이분화</w:t>
      </w:r>
      <w:r>
        <w:rPr>
          <w:rFonts w:ascii="맑은 고딕" w:hAnsi="맑은 고딕" w:eastAsia="맑은 고딕"/>
          <w:b w:val="0"/>
          <w:color w:val="15232A"/>
          <w:sz w:val="19"/>
        </w:rPr>
        <w:t>: 1·3·4생활권은 계획기능 LQ가 3.7·6.6·3.2로 뚜렷하나, 6생활권 첨단지식기반은 0.04, 5생활권 의료·복지는 등재 건물조차 거의 없음. 6생활권(해밀동)은 1년 새 인구가 3.0% 늘고 0~19세 비중이 30.7%로 가장 젊은 주거지로 먼저 채워지는 중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일터와 잠자리의 분리</w:t>
      </w:r>
      <w:r>
        <w:rPr>
          <w:rFonts w:ascii="맑은 고딕" w:hAnsi="맑은 고딕" w:eastAsia="맑은 고딕"/>
          <w:b w:val="0"/>
          <w:color w:val="15232A"/>
          <w:sz w:val="19"/>
        </w:rPr>
        <w:t>: 인구 대비 종사자(직주비)는 나성동 1.05, 도담·어진동 0.97인 반면 해밀동 0.10, 종촌·다정동 0.12로 신규·주거 생활권은 일자리가 거의 없음(2024년 사업체조사)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의료 기능의 계획 외 입지</w:t>
      </w:r>
      <w:r>
        <w:rPr>
          <w:rFonts w:ascii="맑은 고딕" w:hAnsi="맑은 고딕" w:eastAsia="맑은 고딕"/>
          <w:b w:val="0"/>
          <w:color w:val="15232A"/>
          <w:sz w:val="19"/>
        </w:rPr>
        <w:t>: 인구 1만 명당 의사는 나성동 100명, 도담·어진동 54명(세종충남대병원)인 반면 집현동 0.8명, 해밀동 8.3명 — '의료·복지 생활권' 전제를 다시 볼 근거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상업 기능의 쏠림</w:t>
      </w:r>
      <w:r>
        <w:rPr>
          <w:rFonts w:ascii="맑은 고딕" w:hAnsi="맑은 고딕" w:eastAsia="맑은 고딕"/>
          <w:b w:val="0"/>
          <w:color w:val="15232A"/>
          <w:sz w:val="19"/>
        </w:rPr>
        <w:t>: 세종 점포의 13%(2,107곳)가 나성동 한 곳에 있고 인구 1천 명당 163곳. 세종 중대형 상가 공실률은 29.7%(2026년 2분기, 부동산원) — 생활권마다 같은 급으로 계획된 중심상가와 실제 위계가 어긋남(중심지이론)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상가 공실의 실제 분포(전수조사)</w:t>
      </w:r>
      <w:r>
        <w:rPr>
          <w:rFonts w:ascii="맑은 고딕" w:hAnsi="맑은 고딕" w:eastAsia="맑은 고딕"/>
          <w:b w:val="0"/>
          <w:color w:val="15232A"/>
          <w:sz w:val="19"/>
        </w:rPr>
        <w:t>: 행복도시 집합상가 287동의 공실률은 면적 기준 23.9%(호수 기준 28.1%). 3생활권 34.8%·4생활권 34.7%가 1생활권 20.5%·2생활권 17.9%보다 높고, 대평동은 49.3%. 광역 상업 중심(나성동)이 있는 2생활권보다 다른 생활권 중심상가가 더 비어 있음 — 같은 급으로 뿌린 중심상가 총량이 위계와 맞지 않는다는 진단을 뒷받침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공실의 이유</w:t>
      </w:r>
      <w:r>
        <w:rPr>
          <w:rFonts w:ascii="맑은 고딕" w:hAnsi="맑은 고딕" w:eastAsia="맑은 고딕"/>
          <w:b w:val="0"/>
          <w:color w:val="15232A"/>
          <w:sz w:val="19"/>
        </w:rPr>
        <w:t>: 다른 조건이 같을 때 준공 5년 이하 건물은 공실률이 +19.0%p, 제2종 근린생활시설은 +11.9%p 높고, 정류장·BRT·중심지 거리는 유의하지 않음 — 입지보다 공급 구조(연식·용도·총량)의 문제. 자세한 분석은 상가공실 상황판(ysong86.github.io/vacant_sejong)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공공 생활SOC 격차가 상업 서비스보다 큼</w:t>
      </w:r>
      <w:r>
        <w:rPr>
          <w:rFonts w:ascii="맑은 고딕" w:hAnsi="맑은 고딕" w:eastAsia="맑은 고딕"/>
          <w:b w:val="0"/>
          <w:color w:val="15232A"/>
          <w:sz w:val="19"/>
        </w:rPr>
        <w:t>: 15분 생활서비스는 1~3생활권 7.8~8.0종, 4·6생활권 6.7·6.1종으로 차이가 작지만, 도서관 15분 커버리지는 3생활권 97%에 비해 4생활권 47%, 6생활권 40%에 그침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근린주구 원칙의 약화</w:t>
      </w:r>
      <w:r>
        <w:rPr>
          <w:rFonts w:ascii="맑은 고딕" w:hAnsi="맑은 고딕" w:eastAsia="맑은 고딕"/>
          <w:b w:val="0"/>
          <w:color w:val="15232A"/>
          <w:sz w:val="19"/>
        </w:rPr>
        <w:t>: 초등학교 도보 10분(800m) 안의 시가지 비율이 1~3생활권은 92~95%이나 4생활권 72%, 6생활권 59%로 떨어짐 — 신규 생활권에서 기초생활권 설계 원칙(Perry)이 느슨해짐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광역 관계는 대전 쏠림</w:t>
      </w:r>
      <w:r>
        <w:rPr>
          <w:rFonts w:ascii="맑은 고딕" w:hAnsi="맑은 고딕" w:eastAsia="맑은 고딕"/>
          <w:b w:val="0"/>
          <w:color w:val="15232A"/>
          <w:sz w:val="19"/>
        </w:rPr>
        <w:t>: 세종 통근·통학 인구의 31%(61,747명)가 시 밖으로 나가며, 그 52%가 대전(유성구 중심)으로 감. 청주 10,104명, 공주 5,882명, 천안·아산 3,674명으로 북동 방향 연계는 약함(2020 인구총조사) — 변은주 외(2023)의 결과와 같은 방향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1생활권 중심의 허브형 연계</w:t>
      </w:r>
      <w:r>
        <w:rPr>
          <w:rFonts w:ascii="맑은 고딕" w:hAnsi="맑은 고딕" w:eastAsia="맑은 고딕"/>
          <w:b w:val="0"/>
          <w:color w:val="15232A"/>
          <w:sz w:val="19"/>
        </w:rPr>
        <w:t>: 생활권 사이 하루 통행 416천 가운데 67%가 1생활권을 한쪽 끝으로 함(가장 강한 1↔읍면 88.8천, 1↔2 66.5천, 1↔6 51.5천). 반면 2↔3 5.9천, 2↔4 1.8천처럼 이웃 생활권끼리의 직접 연결은 약해, 환상형 순환 구조보다 1생활권 집중 구조로 작동함(KTDB 2024). 해밀동(6생활권)은 활동 통행의 68%를 다른 생활권에 기대면서 대중교통 분담률은 2.6%로 가장 낮음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읍면은 다른 도시</w:t>
      </w:r>
      <w:r>
        <w:rPr>
          <w:rFonts w:ascii="맑은 고딕" w:hAnsi="맑은 고딕" w:eastAsia="맑은 고딕"/>
          <w:b w:val="0"/>
          <w:color w:val="15232A"/>
          <w:sz w:val="19"/>
        </w:rPr>
        <w:t>: 60세 이상 39%, 세대당 1.8명으로 행복도시(각 13% 안팎, 2.6명)와 인구구조가 전혀 다르고, 공장 중심의 첨단·민간업무 LQ 2.23로 산업 기능을 담당 — 두 생활권 체계를 함께 보는 틀이 필요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2453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svc_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453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2318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lq_b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31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4B5B62"/>
                <w:sz w:val="16"/>
              </w:rPr>
              <w:t>&lt;그림 1&gt; 행정동별 15분 생활서비스(종/8)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4B5B62"/>
                <w:sz w:val="16"/>
              </w:rPr>
              <w:t>&lt;그림 2&gt; 생활권별 계획기능 특화도(LQ)  * 참고값</w:t>
            </w:r>
          </w:p>
        </w:tc>
      </w:tr>
    </w:tbl>
    <w:p>
      <w:pPr>
        <w:spacing w:before="0" w:after="40" w:lineRule="auto" w:line="269"/>
      </w:pP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6. 활용방안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생활권 재구조화 논의의 공통 근거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기능 재정립</w:t>
      </w:r>
      <w:r>
        <w:rPr>
          <w:rFonts w:ascii="맑은 고딕" w:hAnsi="맑은 고딕" w:eastAsia="맑은 고딕"/>
          <w:b w:val="0"/>
          <w:color w:val="15232A"/>
          <w:sz w:val="19"/>
        </w:rPr>
        <w:t>: 성숙 생활권(1~3)은 LQ 판정표로 역할을 점검하고, 조성 중 생활권(5·6)은 진척도 대비 계획기능 형성도를 정기 점검함. 5생활권은 조성 진척에 맞춰 의료·복지 용지·시설이 착공되는지, 6생활권은 주거 대비 첨단지식기반 연면적이 따라오는지를 보고, 준공 뒤에도 미형성이면 역할 재설정을 검토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연계 강화</w:t>
      </w:r>
      <w:r>
        <w:rPr>
          <w:rFonts w:ascii="맑은 고딕" w:hAnsi="맑은 고딕" w:eastAsia="맑은 고딕"/>
          <w:b w:val="0"/>
          <w:color w:val="15232A"/>
          <w:sz w:val="19"/>
        </w:rPr>
        <w:t>: BRT 도보시간·15분 서비스 결핍 행정동을 우선 대상으로, 생활권 경계부 BRT 정류장 주변에 두 생활권이 함께 쓰는 복합 거점 입지를 검토(노드–장소 모형)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국가중추·광역</w:t>
      </w:r>
      <w:r>
        <w:rPr>
          <w:rFonts w:ascii="맑은 고딕" w:hAnsi="맑은 고딕" w:eastAsia="맑은 고딕"/>
          <w:b w:val="0"/>
          <w:color w:val="15232A"/>
          <w:sz w:val="19"/>
        </w:rPr>
        <w:t>: 국가상징구역 입지에 따른 중심 위계 변화, 대전·청주·오송과의 기능 분담을 공공·연구 연면적과 광역 흐름 지표로 함께 검토(차용 규모 관점)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정책·계획 연계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생활SOC 우선순위</w:t>
      </w:r>
      <w:r>
        <w:rPr>
          <w:rFonts w:ascii="맑은 고딕" w:hAnsi="맑은 고딕" w:eastAsia="맑은 고딕"/>
          <w:b w:val="0"/>
          <w:color w:val="15232A"/>
          <w:sz w:val="19"/>
        </w:rPr>
        <w:t>: 도서관·공공체육시설 커버리지가 낮은 행정동(집현·해밀, 읍면)부터 배치하되, 신축보다 학교·공공청사의 시간 공유를 우선(파리 15분 도시 사례)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상가 대응</w:t>
      </w:r>
      <w:r>
        <w:rPr>
          <w:rFonts w:ascii="맑은 고딕" w:hAnsi="맑은 고딕" w:eastAsia="맑은 고딕"/>
          <w:b w:val="0"/>
          <w:color w:val="15232A"/>
          <w:sz w:val="19"/>
        </w:rPr>
        <w:t>: 인구 1천 명당 점포와 전수조사 공실률을 겹쳐 중심상가 총량 조정·용도 유연화 대상지를 고르고, 신규 생활권(5·6생활권)은 준공 시기를 나눠 상가를 공급(신축 공실 흡수 기간 단축)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행복도시–읍면 연계</w:t>
      </w:r>
      <w:r>
        <w:rPr>
          <w:rFonts w:ascii="맑은 고딕" w:hAnsi="맑은 고딕" w:eastAsia="맑은 고딕"/>
          <w:b w:val="0"/>
          <w:color w:val="15232A"/>
          <w:sz w:val="19"/>
        </w:rPr>
        <w:t>: 두 생활권 체계를 한 화면에서 비교해 조치원 부도심 기능 강화 논의의 근거로 씀</w:t>
      </w:r>
    </w:p>
    <w:p>
      <w:pPr>
        <w:keepNext/>
        <w:spacing w:before="80" w:after="30" w:lineRule="auto" w:line="269"/>
        <w:ind w:left="283" w:hanging="283"/>
      </w:pPr>
      <w:r>
        <w:rPr>
          <w:rFonts w:ascii="맑은 고딕" w:hAnsi="맑은 고딕" w:eastAsia="맑은 고딕"/>
          <w:b/>
          <w:color w:val="15232A"/>
          <w:sz w:val="20"/>
        </w:rPr>
        <w:t>□ 상시 모니터링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월 1회 자동 갱신(인구·상가·실거래·건축물), 분기별 진단 요약으로 생활권 계획 재검토 시점의 기준선을 관리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>○ 지표마다 '실측/샘플'과 자료 기준시점을 화면에 밝혀, 근거의 신뢰 수준을 함께 전달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7. 향후 과제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자료 갱신</w:t>
      </w:r>
      <w:r>
        <w:rPr>
          <w:rFonts w:ascii="맑은 고딕" w:hAnsi="맑은 고딕" w:eastAsia="맑은 고딕"/>
          <w:b w:val="0"/>
          <w:color w:val="15232A"/>
          <w:sz w:val="19"/>
        </w:rPr>
        <w:t>: 생활권 간 통행(세종 BIS·교통카드)으로 KTDB 모형 통행량을 보완하고, 상가 전수조사를 주기적으로 반복해 집현·합강·산울동 등 신규 동과 층별(1층·상층) 공실을 추가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공간단위 정교화</w:t>
      </w:r>
      <w:r>
        <w:rPr>
          <w:rFonts w:ascii="맑은 고딕" w:hAnsi="맑은 고딕" w:eastAsia="맑은 고딕"/>
          <w:b w:val="0"/>
          <w:color w:val="15232A"/>
          <w:sz w:val="19"/>
        </w:rPr>
        <w:t>: 행정안전부 법정동별 인구 API로 5생활권 인구를 분리하고, 어진동·가람동 경계를 확보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지표 고도화</w:t>
      </w:r>
      <w:r>
        <w:rPr>
          <w:rFonts w:ascii="맑은 고딕" w:hAnsi="맑은 고딕" w:eastAsia="맑은 고딕"/>
          <w:b w:val="0"/>
          <w:color w:val="15232A"/>
          <w:sz w:val="19"/>
        </w:rPr>
        <w:t>: 2단계 유동집수역법으로 시설 정원·병상 대비 접근성 산정, 통신 생활인구 확보 시 주간인구 반영</w:t>
      </w:r>
    </w:p>
    <w:p>
      <w:pPr>
        <w:spacing w:before="0" w:after="30" w:lineRule="auto" w:line="269"/>
        <w:ind w:left="482" w:hanging="255"/>
      </w:pPr>
      <w:r>
        <w:rPr>
          <w:rFonts w:ascii="맑은 고딕" w:hAnsi="맑은 고딕" w:eastAsia="맑은 고딕"/>
          <w:b w:val="0"/>
          <w:color w:val="15232A"/>
          <w:sz w:val="19"/>
        </w:rPr>
        <w:t xml:space="preserve">○ </w:t>
      </w:r>
      <w:r>
        <w:rPr>
          <w:rFonts w:ascii="맑은 고딕" w:hAnsi="맑은 고딕" w:eastAsia="맑은 고딕"/>
          <w:b/>
          <w:color w:val="15232A"/>
          <w:sz w:val="19"/>
        </w:rPr>
        <w:t>운영</w:t>
      </w:r>
      <w:r>
        <w:rPr>
          <w:rFonts w:ascii="맑은 고딕" w:hAnsi="맑은 고딕" w:eastAsia="맑은 고딕"/>
          <w:b w:val="0"/>
          <w:color w:val="15232A"/>
          <w:sz w:val="19"/>
        </w:rPr>
        <w:t>: 연구원 NAS 기반 자동 갱신 체계 구축, 연구모임 정례 검토회의에서 진단 결과 점검</w:t>
      </w:r>
    </w:p>
    <w:p>
      <w:pPr>
        <w:spacing w:before="180" w:after="80" w:lineRule="auto" w:line="269"/>
        <w:keepNext/>
        <w:pBdr>
          <w:bottom w:val="single" w:sz="6" w:space="2" w:color="1D5C7C"/>
        </w:pBdr>
      </w:pPr>
      <w:r>
        <w:rPr>
          <w:rFonts w:ascii="맑은 고딕" w:hAnsi="맑은 고딕" w:eastAsia="맑은 고딕"/>
          <w:b/>
          <w:color w:val="1D5C7C"/>
          <w:sz w:val="25"/>
        </w:rPr>
        <w:t>참고문헌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변은주·이지민·이수기 (2023). 행정중심복합도시 건설에 따른 세종시와 인접 지역의 공간구조 변화 분석: 인구이동과 통근통행자료를 중심으로. 한국계획학회지, 58(4), 48–63.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정부청사관리본부. 정부세종청사 소개(대지면적·연면적). https://gbmo.go.kr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행정중심복합도시건설청. 행정중심복합도시 건설 기본계획 — 환상형 다핵분산 구조, 6개 기능생활권·21개 기초생활권.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Bertolini, L. (1999). Spatial development patterns and public transport: The application of an analytical model in the Netherlands. Planning Practice &amp; Research, 14(2), 199–210.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Burger, M., &amp; Meijers, E. (2012). Form follows function? Linking morphological and functional polycentricity. Urban Studies, 49(5), 1127–1149.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Christaller, W. (1933). Die zentralen Orte in Süddeutschland. Jena: Fischer.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Ewing, R., &amp; Cervero, R. (2010). Travel and the built environment: A meta-analysis. Journal of the American Planning Association, 76(3), 265–294.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Hansen, W. G. (1959). How accessibility shapes land use. Journal of the American Institute of Planners, 25(2), 73–76.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Howard, E. (1902). Garden Cities of To-morrow. London: Swan Sonnenschein.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Luo, W., &amp; Wang, F. (2003). Measures of spatial accessibility to health care in a GIS environment: Synthesis and a case study in the Chicago region. Environment and Planning B, 30(6), 865–884.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Meijers, E., &amp; Burger, M. (2017). Stretching the concept of 'borrowed size'. Urban Studies, 54(1), 269–291.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Moreno, C., Allam, Z., Chabaud, D., Gall, C., &amp; Pratlong, F. (2021). Introducing the "15-Minute City". Smart Cities, 4(1), 93–111.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Parr, J. (2004). The polycentric urban region: A closer inspection. Regional Studies, 38(3), 231–240.</w:t>
      </w:r>
    </w:p>
    <w:p>
      <w:pPr>
        <w:spacing w:before="0" w:after="20" w:lineRule="auto" w:line="240"/>
        <w:ind w:left="340" w:hanging="340"/>
      </w:pPr>
      <w:r>
        <w:rPr>
          <w:rFonts w:ascii="맑은 고딕" w:hAnsi="맑은 고딕" w:eastAsia="맑은 고딕"/>
          <w:b w:val="0"/>
          <w:color w:val="15232A"/>
          <w:sz w:val="16"/>
        </w:rPr>
        <w:t>Perry, C. A. (1929). The Neighborhood Unit. Regional Survey of New York and Its Environs, Vol. 7.</w:t>
      </w:r>
    </w:p>
    <w:p>
      <w:pPr>
        <w:spacing w:before="40" w:after="60" w:lineRule="auto" w:line="269"/>
      </w:pPr>
      <w:r>
        <w:rPr>
          <w:rFonts w:ascii="맑은 고딕" w:hAnsi="맑은 고딕" w:eastAsia="맑은 고딕"/>
          <w:b w:val="0"/>
          <w:color w:val="4B5B62"/>
          <w:sz w:val="16"/>
        </w:rPr>
        <w:t>※ 사례: 파리 '15분 도시', 멜버른 '20분 동네'(Plan Melbourne 2017–2050), 네덜란드 란트스타트, 캔버라 계획수도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B62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