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개발·건설 진척도 → ② 계획기능 실현도 → ③ 생활권 간 연계 → ④ 국가중추·광역 관계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네 단계로 진단하는 지표·지도 상황판을 구축함. 조성 중인 생활권은 진척도 대비 형성도로 봄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13종과 도서관 표준데이터로 지표 24개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22개를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조성 중인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6생활권은 주거 입주 대비 첨단지식기반 기능(LQ 0.04)이 뒤따르지 못하고, 5생활권은 초기 조성 단계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라 '조성단계 점검' 대상으로 분류.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네 단계와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① 개발·건설 진척도 → ② 계획기능 실현도 → ③ 생활권 간 연계 → ④ 국가중추·광역 관계 순으로 진단함. 진척도를 먼저 보는 것은 아직 조성 중인 생활권(4·5·6)을 성숙 생활권(1·2·3)과 같은 잣대로 판정하지 않기 위함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단계별로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진단 단계별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① 개발·건설</w:t>
              <w:br/>
              <w:t>진척도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어느 조성 단계에 있는가(판정 잣대를 정하는 선행 단계)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행복도시 단계별 조성 계획(행정중심복합도시건설청)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최근 5년 준공 비중, 준공 주택 대비 입주, 시가지화율, 주거 대비 계획기능 연면적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② 계획기능</w:t>
              <w:br/>
              <w:t>실현도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직주비(종사자 ÷ 인구),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③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④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상업용부동산 임대동향(R-ONE)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한국부동산원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표본 상권 3곳, 2026년 2분기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 공실률(나성·한솔, 도담·어진, 조치원)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사업체 통계(SGIS)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2024년, 행정동별 종사자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직주비(종사자 ÷ 인구)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간 통행과 행정동별 시외 통근 2개 지표, 생활권 간 통행 흐름도는 아직 예시값(샘플)이며 화면에 '샘플'로 표시함. 상가 공실률은 부동산원 표본 상권이 있는 행정동(나성·한솔, 도담·어진, 조치원)만 값이 있음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22개,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조성 단계를 먼저 매기고, 성숙 생활권은 계획기능 LQ로, 조성 중 생활권은 주거 대비 계획기능 연면적으로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 / 조성단계 점검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조성 단계의 차이</w:t>
      </w:r>
      <w:r>
        <w:rPr>
          <w:rFonts w:ascii="맑은 고딕" w:hAnsi="맑은 고딕" w:eastAsia="맑은 고딕"/>
          <w:b w:val="0"/>
          <w:color w:val="15232A"/>
          <w:sz w:val="19"/>
        </w:rPr>
        <w:t>: 최근 5년 준공 연면적 비중이 1~3생활권 10·13·8%인 반면 4생활권 58%, 6생활권 67%로 한창 조성 중이고, 5생활권은 준공 건물이 거의 없는 초기 조성 단계. 6생활권은 주택 입주율이 94%에 이르렀지만 주거 대비 첨단기능 연면적은 0.5%로 성숙 생활권 평균(11%)에 크게 못 미침 — '주거 조성 대비 첨단지식기반 기능 형성도' 점검 대상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일터와 잠자리의 분리</w:t>
      </w:r>
      <w:r>
        <w:rPr>
          <w:rFonts w:ascii="맑은 고딕" w:hAnsi="맑은 고딕" w:eastAsia="맑은 고딕"/>
          <w:b w:val="0"/>
          <w:color w:val="15232A"/>
          <w:sz w:val="19"/>
        </w:rPr>
        <w:t>: 인구 대비 종사자(직주비)는 나성동 1.05, 도담·어진동 0.97인 반면 해밀동 0.10, 종촌·다정동 0.12로 신규·주거 생활권은 일자리가 거의 없음(2024년 사업체조사)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세종 중대형 상가 공실률은 29.7%(2026년 2분기, 부동산원) —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성숙 생활권(1~3)은 LQ 판정표로 역할을 점검하고, 조성 중 생활권(5·6)은 진척도 대비 계획기능 형성도를 정기 점검함. 5생활권은 조성 진척에 맞춰 의료·복지 용지·시설이 착공되는지, 6생활권은 주거 대비 첨단지식기반 연면적이 따라오는지를 보고, 준공 뒤에도 미형성이면 역할 재설정을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