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经营报告长文本测试</w:t>
      </w:r>
    </w:p>
    <w:p>
      <w:r>
        <w:t>模拟数据用于验证跨章节引用、长段落与普通表格的更新。各章使用同一份事实表，不代表不同部门的独立收入。</w:t>
      </w:r>
    </w:p>
    <w:p>
      <w:pPr>
        <w:pStyle w:val="Heading2"/>
      </w:pPr>
      <w:r>
        <w:t>经营概况记录与核对</w:t>
      </w:r>
    </w:p>
    <w:p>
      <w:r>
        <w:t>第01章围绕经营概况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在经营概况讨论中，记录人员先核对来源表的期间和单位，再把已核实的指标写入正文。重复引用服务于不同的阅读场景，数值仍来自相同事实。本期销售额为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经营概况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经营概况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第02章 销售复盘</w:t>
      </w:r>
    </w:p>
    <w:p>
      <w:pPr>
        <w:pStyle w:val="Heading2"/>
      </w:pPr>
      <w:r>
        <w:t>销售复盘记录与核对</w:t>
      </w:r>
    </w:p>
    <w:p>
      <w:r>
        <w:t>第02章围绕销售复盘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在销售复盘讨论中，记录人员先核对来源表的期间和单位，再把已核实的指标写入正文。重复引用服务于不同的阅读场景，数值仍来自相同事实。本期销售额为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销售复盘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销售复盘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第03章 产品组合</w:t>
      </w:r>
    </w:p>
    <w:p>
      <w:pPr>
        <w:pStyle w:val="Heading2"/>
      </w:pPr>
      <w:r>
        <w:t>产品组合记录与核对</w:t>
      </w:r>
    </w:p>
    <w:p>
      <w:r>
        <w:t>第03章围绕产品组合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在产品组合讨论中，记录人员先核对来源表的期间和单位，再把已核实的指标写入正文。重复引用服务于不同的阅读场景，数值仍来自相同事实。本期销售额为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产品组合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</w:t>
            </w:r>
            <w:r>
              <w:rPr>
                <w:b/>
              </w:rPr>
              <w:t>12</w:t>
            </w:r>
            <w:r>
              <w:rPr>
                <w:i/>
              </w:rPr>
              <w:t>5</w:t>
            </w:r>
            <w:r>
              <w:t>万元。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产品组合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第04章 预算执行</w:t>
      </w:r>
    </w:p>
    <w:p>
      <w:pPr>
        <w:pStyle w:val="Heading2"/>
      </w:pPr>
      <w:r>
        <w:t>预算执行记录与核对</w:t>
      </w:r>
    </w:p>
    <w:p>
      <w:r>
        <w:t>第04章围绕预算执行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在预算执行讨论中，记录人员先核对来源表的期间和单位，再把已核实的指标写入正文。重复引用服务于不同的阅读场景，数值仍来自相同事实。本期销售额为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预算执行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预算执行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第05章 订单管理</w:t>
      </w:r>
    </w:p>
    <w:p>
      <w:pPr>
        <w:pStyle w:val="Heading2"/>
      </w:pPr>
      <w:r>
        <w:t>订单管理记录与核对</w:t>
      </w:r>
    </w:p>
    <w:p>
      <w:r>
        <w:t>第05章围绕订单管理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在订单管理讨论中，记录人员先核对来源表的期间和单位，再把已核实的指标写入正文。重复引用服务于不同的阅读场景，数值仍来自相同事实。本期销售额为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订单管理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订单管理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第06章 渠道协同</w:t>
      </w:r>
    </w:p>
    <w:p>
      <w:pPr>
        <w:pStyle w:val="Heading2"/>
      </w:pPr>
      <w:r>
        <w:t>渠道协同记录与核对</w:t>
      </w:r>
    </w:p>
    <w:p>
      <w:r>
        <w:t>第06章围绕渠道协同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在渠道协同讨论中，记录人员先核对来源表的期间和单位，再把已核实的指标写入正文。重复引用服务于不同的阅读场景，数值仍来自相同事实。本期销售额为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渠道协同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</w:t>
            </w:r>
            <w:r>
              <w:rPr>
                <w:b/>
              </w:rPr>
              <w:t>12</w:t>
            </w:r>
            <w:r>
              <w:rPr>
                <w:i/>
              </w:rPr>
              <w:t>5</w:t>
            </w:r>
            <w:r>
              <w:t>万元。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渠道协同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第07章 客户服务</w:t>
      </w:r>
    </w:p>
    <w:p>
      <w:pPr>
        <w:pStyle w:val="Heading2"/>
      </w:pPr>
      <w:r>
        <w:t>客户服务记录与核对</w:t>
      </w:r>
    </w:p>
    <w:p>
      <w:r>
        <w:t>第07章围绕客户服务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在客户服务讨论中，记录人员先核对来源表的期间和单位，再把已核实的指标写入正文。重复引用服务于不同的阅读场景，数值仍来自相同事实。本期销售额为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客户服务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客户服务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第08章 交付安排</w:t>
      </w:r>
    </w:p>
    <w:p>
      <w:pPr>
        <w:pStyle w:val="Heading2"/>
      </w:pPr>
      <w:r>
        <w:t>交付安排记录与核对</w:t>
      </w:r>
    </w:p>
    <w:p>
      <w:r>
        <w:t>第08章围绕交付安排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在交付安排讨论中，记录人员先核对来源表的期间和单位，再把已核实的指标写入正文。重复引用服务于不同的阅读场景，数值仍来自相同事实。本期销售额为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交付安排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交付安排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第09章 库存管理</w:t>
      </w:r>
    </w:p>
    <w:p>
      <w:pPr>
        <w:pStyle w:val="Heading2"/>
      </w:pPr>
      <w:r>
        <w:t>库存管理记录与核对</w:t>
      </w:r>
    </w:p>
    <w:p>
      <w:r>
        <w:t>第09章围绕库存管理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在库存管理讨论中，记录人员先核对来源表的期间和单位，再把已核实的指标写入正文。重复引用服务于不同的阅读场景，数值仍来自相同事实。本期销售额为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库存管理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</w:t>
            </w:r>
            <w:r>
              <w:rPr>
                <w:b/>
              </w:rPr>
              <w:t>12</w:t>
            </w:r>
            <w:r>
              <w:rPr>
                <w:i/>
              </w:rPr>
              <w:t>5</w:t>
            </w:r>
            <w:r>
              <w:t>万元。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库存管理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第10章 回款跟踪</w:t>
      </w:r>
    </w:p>
    <w:p>
      <w:pPr>
        <w:pStyle w:val="Heading2"/>
      </w:pPr>
      <w:r>
        <w:t>回款跟踪记录与核对</w:t>
      </w:r>
    </w:p>
    <w:p>
      <w:r>
        <w:t>第10章围绕回款跟踪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在回款跟踪讨论中，记录人员先核对来源表的期间和单位，再把已核实的指标写入正文。重复引用服务于不同的阅读场景，数值仍来自相同事实。本期销售额为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回款跟踪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回款跟踪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第11章 成本记录</w:t>
      </w:r>
    </w:p>
    <w:p>
      <w:pPr>
        <w:pStyle w:val="Heading2"/>
      </w:pPr>
      <w:r>
        <w:t>成本记录记录与核对</w:t>
      </w:r>
    </w:p>
    <w:p>
      <w:r>
        <w:t>第11章围绕成本记录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在成本记录讨论中，记录人员先核对来源表的期间和单位，再把已核实的指标写入正文。重复引用服务于不同的阅读场景，数值仍来自相同事实。本期销售额为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成本记录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成本记录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第12章 活动复盘</w:t>
      </w:r>
    </w:p>
    <w:p>
      <w:pPr>
        <w:pStyle w:val="Heading2"/>
      </w:pPr>
      <w:r>
        <w:t>活动复盘记录与核对</w:t>
      </w:r>
    </w:p>
    <w:p>
      <w:r>
        <w:t>第12章围绕活动复盘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在活动复盘讨论中，记录人员先核对来源表的期间和单位，再把已核实的指标写入正文。重复引用服务于不同的阅读场景，数值仍来自相同事实。本期销售额为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活动复盘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</w:t>
            </w:r>
            <w:r>
              <w:rPr>
                <w:b/>
              </w:rPr>
              <w:t>12</w:t>
            </w:r>
            <w:r>
              <w:rPr>
                <w:i/>
              </w:rPr>
              <w:t>5</w:t>
            </w:r>
            <w:r>
              <w:t>万元。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活动复盘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第13章 质量反馈</w:t>
      </w:r>
    </w:p>
    <w:p>
      <w:pPr>
        <w:pStyle w:val="Heading2"/>
      </w:pPr>
      <w:r>
        <w:t>质量反馈记录与核对</w:t>
      </w:r>
    </w:p>
    <w:p>
      <w:r>
        <w:t>第13章围绕质量反馈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在质量反馈讨论中，记录人员先核对来源表的期间和单位，再把已核实的指标写入正文。重复引用服务于不同的阅读场景，数值仍来自相同事实。本期销售额为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质量反馈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质量反馈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第14章 供应沟通</w:t>
      </w:r>
    </w:p>
    <w:p>
      <w:pPr>
        <w:pStyle w:val="Heading2"/>
      </w:pPr>
      <w:r>
        <w:t>供应沟通记录与核对</w:t>
      </w:r>
    </w:p>
    <w:p>
      <w:r>
        <w:t>第14章围绕供应沟通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在供应沟通讨论中，记录人员先核对来源表的期间和单位，再把已核实的指标写入正文。重复引用服务于不同的阅读场景，数值仍来自相同事实。本期销售额为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供应沟通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供应沟通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第15章 区域协作</w:t>
      </w:r>
    </w:p>
    <w:p>
      <w:pPr>
        <w:pStyle w:val="Heading2"/>
      </w:pPr>
      <w:r>
        <w:t>区域协作记录与核对</w:t>
      </w:r>
    </w:p>
    <w:p>
      <w:r>
        <w:t>第15章围绕区域协作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在区域协作讨论中，记录人员先核对来源表的期间和单位，再把已核实的指标写入正文。重复引用服务于不同的阅读场景，数值仍来自相同事实。本期销售额为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区域协作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</w:t>
            </w:r>
            <w:r>
              <w:rPr>
                <w:b/>
              </w:rPr>
              <w:t>12</w:t>
            </w:r>
            <w:r>
              <w:rPr>
                <w:i/>
              </w:rPr>
              <w:t>5</w:t>
            </w:r>
            <w:r>
              <w:t>万元。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区域协作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第16章 人员安排</w:t>
      </w:r>
    </w:p>
    <w:p>
      <w:pPr>
        <w:pStyle w:val="Heading2"/>
      </w:pPr>
      <w:r>
        <w:t>人员安排记录与核对</w:t>
      </w:r>
    </w:p>
    <w:p>
      <w:r>
        <w:t>第16章围绕人员安排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在人员安排讨论中，记录人员先核对来源表的期间和单位，再把已核实的指标写入正文。重复引用服务于不同的阅读场景，数值仍来自相同事实。本期销售额为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人员安排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人员安排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第17章 培训记录</w:t>
      </w:r>
    </w:p>
    <w:p>
      <w:pPr>
        <w:pStyle w:val="Heading2"/>
      </w:pPr>
      <w:r>
        <w:t>培训记录记录与核对</w:t>
      </w:r>
    </w:p>
    <w:p>
      <w:r>
        <w:t>第17章围绕培训记录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在培训记录讨论中，记录人员先核对来源表的期间和单位，再把已核实的指标写入正文。重复引用服务于不同的阅读场景，数值仍来自相同事实。本期销售额为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培训记录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培训记录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第18章 信息归档</w:t>
      </w:r>
    </w:p>
    <w:p>
      <w:pPr>
        <w:pStyle w:val="Heading2"/>
      </w:pPr>
      <w:r>
        <w:t>信息归档记录与核对</w:t>
      </w:r>
    </w:p>
    <w:p>
      <w:r>
        <w:t>第18章围绕信息归档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在信息归档讨论中，记录人员先核对来源表的期间和单位，再把已核实的指标写入正文。重复引用服务于不同的阅读场景，数值仍来自相同事实。本期销售额为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信息归档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</w:t>
            </w:r>
            <w:r>
              <w:rPr>
                <w:b/>
              </w:rPr>
              <w:t>12</w:t>
            </w:r>
            <w:r>
              <w:rPr>
                <w:i/>
              </w:rPr>
              <w:t>5</w:t>
            </w:r>
            <w:r>
              <w:t>万元。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信息归档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第19章 需求评审</w:t>
      </w:r>
    </w:p>
    <w:p>
      <w:pPr>
        <w:pStyle w:val="Heading2"/>
      </w:pPr>
      <w:r>
        <w:t>需求评审记录与核对</w:t>
      </w:r>
    </w:p>
    <w:p>
      <w:r>
        <w:t>第19章围绕需求评审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在需求评审讨论中，记录人员先核对来源表的期间和单位，再把已核实的指标写入正文。重复引用服务于不同的阅读场景，数值仍来自相同事实。本期销售额为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需求评审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需求评审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第20章 风险记录</w:t>
      </w:r>
    </w:p>
    <w:p>
      <w:pPr>
        <w:pStyle w:val="Heading2"/>
      </w:pPr>
      <w:r>
        <w:t>风险记录记录与核对</w:t>
      </w:r>
    </w:p>
    <w:p>
      <w:r>
        <w:t>第20章围绕风险记录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在风险记录讨论中，记录人员先核对来源表的期间和单位，再把已核实的指标写入正文。重复引用服务于不同的阅读场景，数值仍来自相同事实。本期销售额为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风险记录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风险记录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第21章 计划调整</w:t>
      </w:r>
    </w:p>
    <w:p>
      <w:pPr>
        <w:pStyle w:val="Heading2"/>
      </w:pPr>
      <w:r>
        <w:t>计划调整记录与核对</w:t>
      </w:r>
    </w:p>
    <w:p>
      <w:r>
        <w:t>第21章围绕计划调整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在计划调整讨论中，记录人员先核对来源表的期间和单位，再把已核实的指标写入正文。重复引用服务于不同的阅读场景，数值仍来自相同事实。本期销售额为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计划调整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</w:t>
            </w:r>
            <w:r>
              <w:rPr>
                <w:b/>
              </w:rPr>
              <w:t>12</w:t>
            </w:r>
            <w:r>
              <w:rPr>
                <w:i/>
              </w:rPr>
              <w:t>5</w:t>
            </w:r>
            <w:r>
              <w:t>万元。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计划调整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第22章 会议纪要</w:t>
      </w:r>
    </w:p>
    <w:p>
      <w:pPr>
        <w:pStyle w:val="Heading2"/>
      </w:pPr>
      <w:r>
        <w:t>会议纪要记录与核对</w:t>
      </w:r>
    </w:p>
    <w:p>
      <w:r>
        <w:t>第22章围绕会议纪要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在会议纪要讨论中，记录人员先核对来源表的期间和单位，再把已核实的指标写入正文。重复引用服务于不同的阅读场景，数值仍来自相同事实。本期销售额为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会议纪要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会议纪要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第23章 成果交接</w:t>
      </w:r>
    </w:p>
    <w:p>
      <w:pPr>
        <w:pStyle w:val="Heading2"/>
      </w:pPr>
      <w:r>
        <w:t>成果交接记录与核对</w:t>
      </w:r>
    </w:p>
    <w:p>
      <w:r>
        <w:t>第23章围绕成果交接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在成果交接讨论中，记录人员先核对来源表的期间和单位，再把已核实的指标写入正文。重复引用服务于不同的阅读场景，数值仍来自相同事实。本期销售额为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成果交接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p>
      <w:r>
        <w:t>关于成果交接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p>
      <w:pPr>
        <w:pStyle w:val="Heading1"/>
        <w:pageBreakBefore/>
      </w:pPr>
      <w:r>
        <w:t>第24章 后续跟踪</w:t>
      </w:r>
    </w:p>
    <w:p>
      <w:pPr>
        <w:pStyle w:val="Heading2"/>
      </w:pPr>
      <w:r>
        <w:t>后续跟踪记录与核对</w:t>
      </w:r>
    </w:p>
    <w:p>
      <w:r>
        <w:t>第24章围绕后续跟踪整理本期工作的背景、数据引用和后续安排。各项记录采用统一的期间标签，业务说明与数值引用分别维护。阅读本章时，应结合原始记录理解指标范围，不把重复出现的数据累加为新的合计。本文使用模拟资料，用于检查长文更新后的定位是否准确。</w:t>
      </w:r>
    </w:p>
    <w:p>
      <w:r>
        <w:t>在后续跟踪讨论中，记录人员先核对来源表的期间和单位，再把已核实的指标写入正文。重复引用服务于不同的阅读场景，数值仍来自相同事实。本期销售额为</w:t>
      </w:r>
      <w:r>
        <w:rPr>
          <w:b/>
        </w:rPr>
        <w:t>12</w:t>
      </w:r>
      <w:r>
        <w:rPr>
          <w:i/>
        </w:rPr>
        <w:t>5</w:t>
      </w:r>
      <w:r>
        <w:t>万元，较上期增长25%，且超过120万元。</w:t>
      </w:r>
    </w:p>
    <w:p>
      <w:r>
        <w:t>后续跟踪的业务解释需要结合具体过程记录。处理人员应保留需求提出、审批、执行和结果反馈之间的联系，尤其要记录数据尚未覆盖的情况。如果某项观察只有口头描述，应在后续复核时补充出处，不能仅根据相邻的数字推导其原因。</w:t>
      </w:r>
    </w:p>
    <w:p>
      <w:r>
        <w:t>本期销售额较上期增长。本期销售额超过80万元。</w:t>
      </w:r>
    </w:p>
    <w:p>
      <w:r>
        <w:t>A产品销量最高。支出未超过预算。</w:t>
      </w:r>
    </w:p>
    <w:p>
      <w:r>
        <w:t>本期支出为80万元。本期预算为100万元。</w:t>
      </w:r>
    </w:p>
    <w:p>
      <w:r>
        <w:t>本章的会议资料编号为125，归档批次为2026，附件页码从80开始。这些数字是背景信息，不对应事实表中的经营指标。记录人员负责保留原有措辞，数值调整时只处理已经明确关联的内容，避免把编号、页码或者说明性的数字一并替换。</w:t>
      </w:r>
    </w:p>
    <w:p>
      <w:r>
        <w:t>本期销售额为</w:t>
      </w:r>
      <w:r>
        <w:rPr>
          <w:b/>
        </w:rPr>
        <w:t>12</w:t>
      </w:r>
      <w:r>
        <w:rPr>
          <w:i/>
        </w:rPr>
        <w:t>5</w:t>
      </w:r>
      <w:r>
        <w:t>万元；本期支出低于100万元。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核对事项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引用内容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销售金额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本期销售额为</w:t>
            </w:r>
            <w:r>
              <w:rPr>
                <w:b/>
              </w:rPr>
              <w:t>12</w:t>
            </w:r>
            <w:r>
              <w:rPr>
                <w:i/>
              </w:rPr>
              <w:t>5</w:t>
            </w:r>
            <w:r>
              <w:t>万元。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产品比较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>
              <w:t>A产品销量最高。</w:t>
            </w:r>
          </w:p>
        </w:tc>
      </w:tr>
    </w:tbl>
    <w:p>
      <w:r>
        <w:t>关于后续跟踪的跟进安排，需要保留现场记录和说明材料。团队会在下一次复核时检查待办事项是否闭环，并把无法从表格计算的观察交由记录人员核实。这里的业务意见属于背景文字，既不应因数值变更被整段重写，也不能因为同页的数值已经通过检查而被视为得到证明。</w:t>
      </w:r>
    </w:p>
    <w:p>
      <w:r>
        <w:t>人工复核区：本期销售额约为一百二十五万元，增长主要来自渠道优化。此表达保留原文，由人工复核。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版本编号 125  保留的页脚信息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知链长文测试  模拟经营报告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