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t>本期销售额为90万元，较上期增长25%。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