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业务分析报告</w:t>
      </w:r>
    </w:p>
    <w:p>
      <w:r>
        <w:t>模拟数据 · 用于验证知链功能，不代表真实经营结果。</w:t>
      </w:r>
    </w:p>
    <w:p>
      <w:pPr>
        <w:pStyle w:val="Heading1"/>
      </w:pPr>
      <w:r>
        <w:t>销售表现</w:t>
      </w:r>
    </w:p>
    <w:p>
      <w:r>
        <w:rPr>
          <w:b/>
        </w:rPr>
        <w:t>本期销售额为90万元</w:t>
      </w:r>
      <w:r>
        <w:rPr>
          <w:i/>
        </w:rPr>
      </w:r>
      <w:r>
        <w:t>。较上期下降10%。本期销售额未超过120万元。</w:t>
      </w:r>
    </w:p>
    <w:p>
      <w:pPr>
        <w:pStyle w:val="Heading1"/>
      </w:pPr>
      <w:r>
        <w:t>产品与预算</w:t>
      </w:r>
    </w:p>
    <w:p>
      <w:r>
        <w:t>B产品销量最高。支出超过预算。</w:t>
      </w:r>
    </w:p>
    <w:p>
      <w:r>
        <w:t>本段是人工撰写的背景说明，修复时应保持原样。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