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B2B" w:rsidRDefault="00C6008B" w:rsidP="00FA4C95">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Id8">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8330F3">
        <w:rPr>
          <w:noProof/>
        </w:rPr>
        <w:pict>
          <v:shapetype id="_x0000_t202" coordsize="21600,21600" o:spt="202" path="m,l,21600r21600,l21600,xe">
            <v:stroke joinstyle="miter"/>
            <v:path gradientshapeok="t" o:connecttype="rect"/>
          </v:shapetype>
          <v:shape id="Text Box 6" o:spid="_x0000_s1027" type="#_x0000_t202" style="position:absolute;left:0;text-align:left;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" filled="f" stroked="f" strokeweight=".5pt">
            <o:lock v:ext="edit" aspectratio="t" verticies="t" text="t" shapetype="t"/>
            <v:textbox>
              <w:txbxContent>
                <w:p w:rsidR="008330F3" w:rsidRPr="000C6912" w:rsidRDefault="008330F3" w:rsidP="00FA4C95">
                  <w:pPr>
                    <w:rPr>
                      <w:color w:val="0F2B46"/>
                      <w:sz w:val="28"/>
                    </w:rPr>
                  </w:pPr>
                  <w:r>
                    <w:rPr>
                      <w:color w:val="0F2B46"/>
                    </w:rPr>
                    <w:t>Subscribe to DeepL Pro to edit this document.</w:t>
                  </w:r>
                  <w:r>
                    <w:br/>
                  </w:r>
                  <w:r>
                    <w:rPr>
                      <w:color w:val="0F2B46"/>
                    </w:rPr>
                    <w:t xml:space="preserve">Visit </w:t>
                  </w:r>
                  <w:hyperlink r:id="rId9">
                    <w:r>
                      <w:t>www.DeepL.com/pro</w:t>
                    </w:r>
                  </w:hyperlink>
                  <w:r>
                    <w:rPr>
                      <w:color w:val="0F2B46"/>
                    </w:rPr>
                    <w:t xml:space="preserve"> for more information.</w:t>
                  </w:r>
                </w:p>
              </w:txbxContent>
            </v:textbox>
            <w10:wrap anchorx="page" anchory="page"/>
          </v:shape>
        </w:pict>
      </w:r>
      <w:r w:rsidR="008330F3">
        <w:pict>
          <v:shape id="DeepLBoxSPIDType" o:spid="_x0000_s1026" type="#_x0000_t202" alt="" style="position:absolute;left:0;text-align:left;margin-left:0;margin-top:0;width:50pt;height:50pt;z-index:251660288;visibility:hidden;mso-wrap-edited:f;mso-width-percent:0;mso-height-percent:0;mso-position-horizontal-relative:text;mso-position-vertical-relative:text;mso-width-percent:0;mso-height-percent:0">
            <o:lock v:ext="edit" selection="t"/>
          </v:shape>
        </w:pict>
      </w:r>
    </w:p>
    <w:p w:rsidR="003C675B" w:rsidRPr="00887B6D" w:rsidRDefault="003C675B" w:rsidP="00FA4C95">
      <w:pPr>
        <w:pStyle w:val="1"/>
      </w:pPr>
      <w:r w:rsidRPr="00887B6D">
        <w:rPr>
          <w:rFonts w:ascii="微软雅黑" w:eastAsia="微软雅黑" w:hAnsi="微软雅黑" w:cs="微软雅黑" w:hint="eastAsia"/>
        </w:rPr>
        <w:t>摘要：</w:t>
      </w:r>
    </w:p>
    <w:p w:rsidR="003C675B" w:rsidRDefault="003C675B" w:rsidP="00FA4C95">
      <w:r w:rsidRPr="003C675B">
        <w:t>作为航空发动机的重要集成部件，叶盘的几何精度和表面质量直接影响发动机的效率和安全性。在制造和维护过程中，需要进行三维测量以检测几何偏差和表面缺陷。然而，叶片排列紧凑、曲率变化剧烈以及严重的遮挡现象，使得光学扫描视点规划变得困难，从而导致可访问性受限、扫描冗余以及易出现缺陷的叶片边缘覆盖不足。</w:t>
      </w:r>
      <w:r w:rsidRPr="003C675B">
        <w:t xml:space="preserve"> </w:t>
      </w:r>
      <w:r w:rsidRPr="003C675B">
        <w:t>为解决这一问题，我们提出了一种结合缺陷敏感区域引导与强化学习优化的三维检测视点规划方法。在粗规划阶段，风险驱动的采样策略将更密集的候选视点分配给叶片边缘和过渡区等高风险区域。同时，遮挡扰动机制恢复了被遮挡视点的可行性。</w:t>
      </w:r>
      <w:r w:rsidRPr="003C675B">
        <w:t xml:space="preserve"> </w:t>
      </w:r>
      <w:r w:rsidRPr="003C675B">
        <w:t>在精细规划阶段，视点选择被建模为马尔可夫决策过程，其奖励函数综合考虑了覆盖增益、冗余惩罚和路径成本。通过近端策略优化算法对扫描策略进行训练，以平衡效率与精度。仿真和实验结果表明，所提出的方法增强了对缺陷敏感区域的检测，同时保持了整体效率，从而为叶盘的自动化三维检测提供了可靠的解决方案。</w:t>
      </w:r>
    </w:p>
    <w:p w:rsidR="003C675B" w:rsidRDefault="003C675B" w:rsidP="00FA4C95">
      <w:pPr>
        <w:ind w:firstLine="549"/>
      </w:pPr>
      <w:r w:rsidRPr="00887B6D">
        <w:rPr>
          <w:b/>
          <w:i/>
          <w:spacing w:val="-2"/>
          <w:w w:val="115"/>
        </w:rPr>
        <w:t>关键词：</w:t>
      </w:r>
      <w:r>
        <w:rPr>
          <w:w w:val="115"/>
        </w:rPr>
        <w:t>视点规划</w:t>
      </w:r>
      <w:r>
        <w:rPr>
          <w:w w:val="115"/>
        </w:rPr>
        <w:t xml:space="preserve"> 3D</w:t>
      </w:r>
      <w:r>
        <w:rPr>
          <w:w w:val="115"/>
        </w:rPr>
        <w:t>测量</w:t>
      </w:r>
      <w:r>
        <w:rPr>
          <w:w w:val="115"/>
        </w:rPr>
        <w:t xml:space="preserve"> </w:t>
      </w:r>
      <w:r>
        <w:rPr>
          <w:w w:val="115"/>
        </w:rPr>
        <w:t>强化学习</w:t>
      </w:r>
      <w:r>
        <w:rPr>
          <w:w w:val="110"/>
        </w:rPr>
        <w:t xml:space="preserve"> </w:t>
      </w:r>
      <w:r>
        <w:rPr>
          <w:w w:val="110"/>
        </w:rPr>
        <w:t>缺陷敏感</w:t>
      </w:r>
      <w:r>
        <w:rPr>
          <w:spacing w:val="-2"/>
          <w:w w:val="110"/>
        </w:rPr>
        <w:t>区域</w:t>
      </w:r>
    </w:p>
    <w:p w:rsidR="003C675B" w:rsidRDefault="003C675B" w:rsidP="00FA4C95">
      <w:r>
        <w:br w:type="page"/>
      </w:r>
    </w:p>
    <w:p w:rsidR="003C675B" w:rsidRPr="00887B6D" w:rsidRDefault="00887B6D" w:rsidP="00FA4C95">
      <w:pPr>
        <w:pStyle w:val="1"/>
      </w:pPr>
      <w:r>
        <w:lastRenderedPageBreak/>
        <w:t>1.</w:t>
      </w:r>
      <w:r w:rsidR="003C675B" w:rsidRPr="00887B6D">
        <w:t xml:space="preserve"> </w:t>
      </w:r>
      <w:r w:rsidR="003C675B" w:rsidRPr="00887B6D">
        <w:rPr>
          <w:rFonts w:ascii="微软雅黑" w:eastAsia="微软雅黑" w:hAnsi="微软雅黑" w:cs="微软雅黑" w:hint="eastAsia"/>
        </w:rPr>
        <w:t>引言</w:t>
      </w:r>
    </w:p>
    <w:p w:rsidR="003C675B" w:rsidRDefault="003C675B" w:rsidP="00FA4C95">
      <w:pPr>
        <w:ind w:firstLine="525"/>
      </w:pPr>
      <w:r>
        <w:rPr>
          <w:rFonts w:hint="eastAsia"/>
          <w:w w:val="110"/>
        </w:rPr>
        <w:t>在现代航空发动机中，叶片类部件作为典型的高性能空气动力学元件，广泛应用于压缩机、涡轮机和风扇系统，其几何形态直接决定了整体空气动力学性能和运行安全。其中，作为集成式多叶片结构的叶盘，由众多薄壁叶片在空间中紧密排列而成，具有结构复杂和制造精度要求严苛的特点。</w:t>
      </w:r>
      <w:r>
        <w:rPr>
          <w:w w:val="110"/>
        </w:rPr>
        <w:t xml:space="preserve"> </w:t>
      </w:r>
      <w:r>
        <w:rPr>
          <w:rFonts w:hint="eastAsia"/>
          <w:w w:val="110"/>
        </w:rPr>
        <w:t>此类部件在制造和使用过程中均会受到多种变形和损伤源的影响。一方面，由于加工余量小且边缘刚度低，在制造过程中可能会出现翘曲和变形等几何误差</w:t>
      </w:r>
      <w:hyperlink w:anchor="_bookmark42" w:history="1">
        <w:r>
          <w:rPr>
            <w:color w:val="2196D1"/>
            <w:w w:val="110"/>
          </w:rPr>
          <w:t>[1,2]</w:t>
        </w:r>
      </w:hyperlink>
      <w:r>
        <w:rPr>
          <w:rFonts w:hint="eastAsia"/>
          <w:w w:val="110"/>
        </w:rPr>
        <w:t>；另一方面，使用环境中的热应力循环和颗粒侵蚀可能会导致裂纹萌生和表面劣化，特别是在叶片边缘、吸力面和过渡区域。因此，对叶片类部件进行高分辨率的三维几何检测，对于缺陷的早期发现、结构状态评估以及使用寿命预测至关重要。</w:t>
      </w:r>
    </w:p>
    <w:p w:rsidR="003C675B" w:rsidRPr="00FA4C95" w:rsidRDefault="003C675B" w:rsidP="00FA4C95">
      <w:r w:rsidRPr="00FA4C95">
        <w:rPr>
          <w:rFonts w:hint="eastAsia"/>
        </w:rPr>
        <w:t>为了对这类复杂结构进行高效、精确的检测，将结构光测量系统与六自由度机械臂相结合已成为自动化扫描的主流解决方案</w:t>
      </w:r>
      <w:hyperlink w:anchor="_bookmark43" w:history="1">
        <w:r w:rsidRPr="00FA4C95">
          <w:rPr>
            <w:rStyle w:val="aa"/>
          </w:rPr>
          <w:t>[3</w:t>
        </w:r>
        <w:r w:rsidR="00FA4C95" w:rsidRPr="00FA4C95">
          <w:rPr>
            <w:rStyle w:val="aa"/>
            <w:rFonts w:hint="eastAsia"/>
          </w:rPr>
          <w:t>，</w:t>
        </w:r>
        <w:r w:rsidRPr="00FA4C95">
          <w:rPr>
            <w:rStyle w:val="aa"/>
          </w:rPr>
          <w:t>5]</w:t>
        </w:r>
      </w:hyperlink>
      <w:r w:rsidRPr="00FA4C95">
        <w:rPr>
          <w:rFonts w:hint="eastAsia"/>
        </w:rPr>
        <w:t>。结构光技术能够实现非接触式、高分辨率且微米级别的测量，因此非常适合捕捉复杂表面的细微细节；而机械臂则为传感器在复杂区域的部署和姿态调整提供了灵活的空间机动性。两者的结合实现了多视角扫描；然而，在应用于叶盘和多叶片总成时，系统性能在很大程度上仍受限于视角的设计与调度。因此，在结构约束、覆盖要求和平台可行性的条件下，有效规划传感视角和扫描路径，是决定检测质量和效率的关键因素。</w:t>
      </w:r>
    </w:p>
    <w:p w:rsidR="003C675B" w:rsidRDefault="003C675B" w:rsidP="00FA4C95">
      <w:pPr>
        <w:ind w:firstLine="525"/>
      </w:pPr>
      <w:r>
        <w:rPr>
          <w:w w:val="110"/>
        </w:rPr>
        <w:t>在视点规划任务中，叶盘结构具有明显的结构约束和空间复杂性。它们由密集排列、高曲率的薄叶片组成，存在严重的局部遮挡现象，许多区域无法从单一视点完全观察到。在此类条件下，传统的均匀采样策略往往导致冗余扫描和覆盖不完整，难以在效率与完整性之间取得平衡。特别是叶片边缘</w:t>
      </w:r>
      <w:r>
        <w:rPr>
          <w:w w:val="110"/>
        </w:rPr>
        <w:t>——</w:t>
      </w:r>
      <w:r>
        <w:rPr>
          <w:w w:val="110"/>
        </w:rPr>
        <w:t>其特征为空间狭窄且曲率变化剧烈</w:t>
      </w:r>
      <w:r>
        <w:rPr>
          <w:w w:val="110"/>
        </w:rPr>
        <w:t>——</w:t>
      </w:r>
      <w:r>
        <w:rPr>
          <w:w w:val="110"/>
        </w:rPr>
        <w:t>在多角度扫描中常成为盲区，导致检测遗漏和成像失真；这些区域也是缺陷易发区</w:t>
      </w:r>
      <w:hyperlink w:anchor="_bookmark45" w:history="1">
        <w:r>
          <w:rPr>
            <w:color w:val="2196D1"/>
            <w:w w:val="110"/>
          </w:rPr>
          <w:t>[6,7]</w:t>
        </w:r>
      </w:hyperlink>
      <w:r>
        <w:rPr>
          <w:w w:val="110"/>
        </w:rPr>
        <w:t>。</w:t>
      </w:r>
      <w:r>
        <w:rPr>
          <w:w w:val="110"/>
        </w:rPr>
        <w:t xml:space="preserve"> </w:t>
      </w:r>
      <w:r>
        <w:rPr>
          <w:w w:val="110"/>
        </w:rPr>
        <w:t>此外，结构光系统受限于有限的景深以及相机投影仪基线固有的光学遮挡，特别是在狭窄的叶片间隙内。这些感知限制，加上机器人运动学约束，严重限制了</w:t>
      </w:r>
      <w:r>
        <w:t>关键边缘区域的可行观察点。因此，传统的</w:t>
      </w:r>
      <w:r>
        <w:rPr>
          <w:w w:val="110"/>
        </w:rPr>
        <w:t>均匀采样方法已显不足；</w:t>
      </w:r>
      <w:r>
        <w:rPr>
          <w:spacing w:val="-2"/>
          <w:w w:val="110"/>
        </w:rPr>
        <w:t>亟需</w:t>
      </w:r>
      <w:r>
        <w:rPr>
          <w:w w:val="110"/>
        </w:rPr>
        <w:t>一种任务驱动的规划策略</w:t>
      </w:r>
      <w:r>
        <w:rPr>
          <w:spacing w:val="-2"/>
          <w:w w:val="110"/>
        </w:rPr>
        <w:t xml:space="preserve"> </w:t>
      </w:r>
      <w:r>
        <w:rPr>
          <w:spacing w:val="-2"/>
          <w:w w:val="110"/>
        </w:rPr>
        <w:t>，以明确优先处理这些易出现缺陷的区域，同时</w:t>
      </w:r>
      <w:r>
        <w:rPr>
          <w:w w:val="110"/>
        </w:rPr>
        <w:t>动态适应可见性和可达性约束，从而确保可靠的检测。</w:t>
      </w:r>
    </w:p>
    <w:p w:rsidR="003C675B" w:rsidRDefault="003C675B" w:rsidP="00FA4C95">
      <w:pPr>
        <w:ind w:firstLine="525"/>
      </w:pPr>
      <w:r>
        <w:rPr>
          <w:w w:val="110"/>
        </w:rPr>
        <w:t>尽管在一般检测任务中已采用了各种基于启发式和优化的</w:t>
      </w:r>
      <w:r>
        <w:rPr>
          <w:w w:val="110"/>
        </w:rPr>
        <w:t>CPP</w:t>
      </w:r>
      <w:r>
        <w:rPr>
          <w:w w:val="110"/>
        </w:rPr>
        <w:t>方法，但这些方法的假设与叶片边缘区域中存在的间断可见性和突兀的几何过渡并不完全吻合。</w:t>
      </w:r>
      <w:r>
        <w:rPr>
          <w:w w:val="110"/>
        </w:rPr>
        <w:t xml:space="preserve"> </w:t>
      </w:r>
      <w:r>
        <w:rPr>
          <w:w w:val="110"/>
        </w:rPr>
        <w:t>基于曲率或边界距离的启发式规则，往往因遮挡导致的可见性损失而产生密集但大多不可行的视点；而全局优化方法则往往低估了那些对全局指标贡献甚微、但至关重要的小型边缘区域。这些特点促使我们需要一种能够明确考虑区域重要性并适应复杂可见性模式的规划策略。</w:t>
      </w:r>
      <w:r>
        <w:rPr>
          <w:spacing w:val="-1"/>
          <w:w w:val="110"/>
        </w:rPr>
        <w:t xml:space="preserve"> </w:t>
      </w:r>
      <w:r>
        <w:rPr>
          <w:w w:val="110"/>
        </w:rPr>
        <w:t>在此背景下，</w:t>
      </w:r>
      <w:r>
        <w:rPr>
          <w:spacing w:val="-2"/>
          <w:w w:val="110"/>
        </w:rPr>
        <w:t>强化学习（</w:t>
      </w:r>
      <w:r>
        <w:rPr>
          <w:spacing w:val="-2"/>
          <w:w w:val="110"/>
        </w:rPr>
        <w:t>RL</w:t>
      </w:r>
      <w:r>
        <w:rPr>
          <w:spacing w:val="-2"/>
          <w:w w:val="110"/>
        </w:rPr>
        <w:t>）通过</w:t>
      </w:r>
      <w:r>
        <w:rPr>
          <w:w w:val="110"/>
        </w:rPr>
        <w:t>将检测建模为一个序列决策过程，</w:t>
      </w:r>
      <w:r>
        <w:rPr>
          <w:spacing w:val="-2"/>
          <w:w w:val="110"/>
        </w:rPr>
        <w:t>展现出显著优势</w:t>
      </w:r>
      <w:r>
        <w:rPr>
          <w:w w:val="110"/>
        </w:rPr>
        <w:t>，使智能体能够通过与环境的持续交互，学习出能够应对突发可见性变化的稳健策略。此外，其灵活的奖励结构允许对高风险边缘区域进行显式优先级排序，确保这些关键区域即使对全局表面统计数据的贡献较小，也能获得充分的覆盖。</w:t>
      </w:r>
    </w:p>
    <w:p w:rsidR="003C675B" w:rsidRDefault="003C675B" w:rsidP="00FA4C95">
      <w:pPr>
        <w:ind w:firstLine="525"/>
        <w:rPr>
          <w:w w:val="110"/>
        </w:rPr>
      </w:pPr>
      <w:r>
        <w:rPr>
          <w:w w:val="110"/>
        </w:rPr>
        <w:t>为应对上述挑战，本文提出了一种针对三维检测、优先处理缺陷敏感区域的视点规划方法。该方法构建了一个两阶段框架，将</w:t>
      </w:r>
      <w:r>
        <w:t>基于先验模型的</w:t>
      </w:r>
      <w:r>
        <w:rPr>
          <w:w w:val="110"/>
        </w:rPr>
        <w:t>候选</w:t>
      </w:r>
      <w:r>
        <w:t>视点生成与强化学习优化</w:t>
      </w:r>
      <w:r>
        <w:rPr>
          <w:w w:val="110"/>
        </w:rPr>
        <w:t>相结合</w:t>
      </w:r>
      <w:r>
        <w:t>。以</w:t>
      </w:r>
      <w:r>
        <w:rPr>
          <w:w w:val="110"/>
        </w:rPr>
        <w:t>结构光和机械臂检测系统为执行平台，该方法引入区域风险建模和空间约束，从而</w:t>
      </w:r>
      <w:r>
        <w:rPr>
          <w:w w:val="110"/>
        </w:rPr>
        <w:lastRenderedPageBreak/>
        <w:t>在叶片边缘及其他关键区域生成密集的候选视点。</w:t>
      </w:r>
      <w:r>
        <w:rPr>
          <w:spacing w:val="-11"/>
          <w:w w:val="110"/>
        </w:rPr>
        <w:t xml:space="preserve"> </w:t>
      </w:r>
      <w:r>
        <w:rPr>
          <w:w w:val="110"/>
        </w:rPr>
        <w:t>在此基础上，将视点选择建模为马尔可夫决策过程（</w:t>
      </w:r>
      <w:r>
        <w:rPr>
          <w:w w:val="110"/>
        </w:rPr>
        <w:t>MDP</w:t>
      </w:r>
      <w:r>
        <w:rPr>
          <w:w w:val="110"/>
        </w:rPr>
        <w:t>），并通过一种融合了覆盖增益、冗余惩罚和姿态可行性的奖励机制训练强化学习策略，从而生成既能识别关键区域又可实际执行的扫描策略。本文中使用的主要符号总结于</w:t>
      </w:r>
      <w:hyperlink w:anchor="_bookmark1" w:history="1">
        <w:r>
          <w:rPr>
            <w:color w:val="2196D1"/>
            <w:w w:val="110"/>
          </w:rPr>
          <w:t>表</w:t>
        </w:r>
        <w:r>
          <w:rPr>
            <w:color w:val="2196D1"/>
            <w:w w:val="110"/>
          </w:rPr>
          <w:t>1</w:t>
        </w:r>
        <w:r>
          <w:rPr>
            <w:color w:val="2196D1"/>
            <w:w w:val="110"/>
          </w:rPr>
          <w:t>中</w:t>
        </w:r>
      </w:hyperlink>
      <w:r>
        <w:rPr>
          <w:w w:val="110"/>
        </w:rPr>
        <w:t>。</w:t>
      </w:r>
    </w:p>
    <w:p w:rsidR="003C675B" w:rsidRPr="00887B6D" w:rsidRDefault="003C675B" w:rsidP="00FA4C95">
      <w:pPr>
        <w:pStyle w:val="afb"/>
      </w:pPr>
      <w:r w:rsidRPr="00887B6D">
        <w:t>表</w:t>
      </w:r>
      <w:r w:rsidRPr="00887B6D">
        <w:t xml:space="preserve"> 1 </w:t>
      </w:r>
      <w:r w:rsidRPr="00887B6D">
        <w:t>关键符号汇总。</w:t>
      </w:r>
    </w:p>
    <w:p w:rsidR="003C675B" w:rsidRDefault="003C675B" w:rsidP="00FA4C95">
      <w:pPr>
        <w:pStyle w:val="a7"/>
        <w:spacing w:after="156"/>
      </w:pPr>
    </w:p>
    <w:p w:rsidR="003C675B" w:rsidRDefault="003C675B" w:rsidP="00FA4C95">
      <w:r>
        <w:rPr>
          <w:noProof/>
        </w:rPr>
        <mc:AlternateContent>
          <mc:Choice Requires="wpg">
            <w:drawing>
              <wp:inline distT="0" distB="0" distL="0" distR="0" wp14:anchorId="61A82F8E" wp14:editId="0C354BE2">
                <wp:extent cx="3188970"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6350"/>
                          <a:chOff x="0" y="0"/>
                          <a:chExt cx="3188970" cy="6350"/>
                        </a:xfrm>
                      </wpg:grpSpPr>
                      <wps:wsp>
                        <wps:cNvPr id="20" name="Graphic 20"/>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14="http://schemas.microsoft.com/office/drawing/2010/main">
            <w:pict>
              <v:group id="Group 19" style="width:251.1pt;height:.5pt;mso-position-horizontal-relative:char;mso-position-vertical-relative:line" coordsize="31889,6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" w14:anchorId="7458F3C6">
                <v:shape id="Graphic 20" style="position:absolute;width:31889;height:63;visibility:visible;mso-wrap-style:square;v-text-anchor:top" coordsize="3188970,6350" o:spid="_x0000_s1027" fillcolor="black" stroked="f" path="m3188437,l,,,6324r3188437,l31884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">
                  <v:path arrowok="t"/>
                </v:shape>
                <w10:anchorlock/>
              </v:group>
            </w:pict>
          </mc:Fallback>
        </mc:AlternateContent>
      </w:r>
    </w:p>
    <w:p w:rsidR="003C675B" w:rsidRPr="00887B6D" w:rsidRDefault="003C675B" w:rsidP="00FA4C95">
      <w:pPr>
        <w:ind w:firstLine="551"/>
      </w:pPr>
      <w:r w:rsidRPr="00887B6D">
        <w:rPr>
          <w:w w:val="115"/>
        </w:rPr>
        <w:t>符号</w:t>
      </w:r>
      <w:r w:rsidRPr="00887B6D">
        <w:tab/>
      </w:r>
      <w:r w:rsidRPr="00887B6D">
        <w:rPr>
          <w:w w:val="115"/>
        </w:rPr>
        <w:t>定义</w:t>
      </w:r>
    </w:p>
    <w:p w:rsidR="003C675B" w:rsidRPr="00887B6D" w:rsidRDefault="003C675B" w:rsidP="00FA4C95">
      <w:r w:rsidRPr="00887B6D">
        <w:rPr>
          <w:noProof/>
        </w:rPr>
        <mc:AlternateContent>
          <mc:Choice Requires="wpg">
            <w:drawing>
              <wp:inline distT="0" distB="0" distL="0" distR="0" wp14:anchorId="73ACC2CA" wp14:editId="45B9A73C">
                <wp:extent cx="3188970"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6350"/>
                          <a:chOff x="0" y="0"/>
                          <a:chExt cx="3188970" cy="6350"/>
                        </a:xfrm>
                      </wpg:grpSpPr>
                      <wps:wsp>
                        <wps:cNvPr id="22" name="Graphic 22"/>
                        <wps:cNvSpPr/>
                        <wps:spPr>
                          <a:xfrm>
                            <a:off x="-11" y="0"/>
                            <a:ext cx="3188970" cy="6350"/>
                          </a:xfrm>
                          <a:custGeom>
                            <a:avLst/>
                            <a:gdLst/>
                            <a:ahLst/>
                            <a:cxnLst/>
                            <a:rect l="l" t="t" r="r" b="b"/>
                            <a:pathLst>
                              <a:path w="3188970" h="6350">
                                <a:moveTo>
                                  <a:pt x="3188449" y="0"/>
                                </a:moveTo>
                                <a:lnTo>
                                  <a:pt x="1631772" y="0"/>
                                </a:lnTo>
                                <a:lnTo>
                                  <a:pt x="657809" y="0"/>
                                </a:lnTo>
                                <a:lnTo>
                                  <a:pt x="0" y="0"/>
                                </a:lnTo>
                                <a:lnTo>
                                  <a:pt x="0" y="6324"/>
                                </a:lnTo>
                                <a:lnTo>
                                  <a:pt x="657809" y="6324"/>
                                </a:lnTo>
                                <a:lnTo>
                                  <a:pt x="1631772" y="6324"/>
                                </a:lnTo>
                                <a:lnTo>
                                  <a:pt x="3188449" y="6324"/>
                                </a:lnTo>
                                <a:lnTo>
                                  <a:pt x="31884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14="http://schemas.microsoft.com/office/drawing/2010/main">
            <w:pict>
              <v:group id="Group 21" style="width:251.1pt;height:.5pt;mso-position-horizontal-relative:char;mso-position-vertical-relative:line" coordsize="31889,6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" w14:anchorId="1931BE33">
                <v:shape id="Graphic 22" style="position:absolute;width:31889;height:63;visibility:visible;mso-wrap-style:square;v-text-anchor:top" coordsize="3188970,6350" o:spid="_x0000_s1027" fillcolor="black" stroked="f" path="m3188449,l1631772,,657809,,,,,6324r657809,l1631772,6324r1556677,l3188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">
                  <v:path arrowok="t"/>
                </v:shape>
                <w10:anchorlock/>
              </v:group>
            </w:pict>
          </mc:Fallback>
        </mc:AlternateContent>
      </w:r>
    </w:p>
    <w:p w:rsidR="003C675B" w:rsidRPr="00887B6D" w:rsidRDefault="003C675B" w:rsidP="00FA4C95">
      <w:pPr>
        <w:ind w:firstLine="551"/>
      </w:pPr>
      <w:r w:rsidRPr="00887B6D">
        <w:rPr>
          <w:i/>
          <w:w w:val="115"/>
        </w:rPr>
        <w:t xml:space="preserve">V </w:t>
      </w:r>
      <w:r w:rsidRPr="00887B6D">
        <w:rPr>
          <w:rFonts w:ascii="Tahoma"/>
          <w:w w:val="115"/>
        </w:rPr>
        <w:t xml:space="preserve">, </w:t>
      </w:r>
      <w:r w:rsidRPr="00887B6D">
        <w:rPr>
          <w:i/>
          <w:spacing w:val="-5"/>
          <w:w w:val="115"/>
          <w:sz w:val="9"/>
        </w:rPr>
        <w:t>Nv</w:t>
      </w:r>
      <w:r w:rsidRPr="00887B6D">
        <w:rPr>
          <w:i/>
          <w:sz w:val="9"/>
        </w:rPr>
        <w:tab/>
      </w:r>
      <w:r w:rsidRPr="00887B6D">
        <w:rPr>
          <w:w w:val="115"/>
        </w:rPr>
        <w:t>候选视点集及其</w:t>
      </w:r>
      <w:r w:rsidRPr="00887B6D">
        <w:rPr>
          <w:spacing w:val="-4"/>
          <w:w w:val="115"/>
        </w:rPr>
        <w:t>大小</w:t>
      </w:r>
    </w:p>
    <w:p w:rsidR="003C675B" w:rsidRPr="00887B6D" w:rsidRDefault="003C675B" w:rsidP="00FA4C95">
      <w:pPr>
        <w:ind w:firstLine="187"/>
      </w:pPr>
      <w:r w:rsidRPr="00887B6D">
        <w:rPr>
          <w:i/>
          <w:spacing w:val="-5"/>
          <w:w w:val="115"/>
          <w:sz w:val="9"/>
        </w:rPr>
        <w:t>vi</w:t>
      </w:r>
      <w:r w:rsidRPr="00887B6D">
        <w:rPr>
          <w:i/>
          <w:sz w:val="9"/>
        </w:rPr>
        <w:tab/>
      </w:r>
      <w:r w:rsidRPr="00887B6D">
        <w:rPr>
          <w:w w:val="115"/>
        </w:rPr>
        <w:t>观点</w:t>
      </w:r>
      <w:r w:rsidRPr="00887B6D">
        <w:rPr>
          <w:w w:val="115"/>
        </w:rPr>
        <w:t xml:space="preserve"> </w:t>
      </w:r>
      <w:r w:rsidRPr="00887B6D">
        <w:rPr>
          <w:spacing w:val="-10"/>
          <w:w w:val="115"/>
        </w:rPr>
        <w:t>i</w:t>
      </w:r>
    </w:p>
    <w:p w:rsidR="003C675B" w:rsidRPr="00887B6D" w:rsidRDefault="003C675B" w:rsidP="00FA4C95">
      <w:pPr>
        <w:ind w:firstLine="170"/>
      </w:pPr>
      <w:r w:rsidRPr="00887B6D">
        <w:rPr>
          <w:i/>
          <w:w w:val="95"/>
          <w:sz w:val="9"/>
        </w:rPr>
        <w:t>st</w:t>
      </w:r>
      <w:r w:rsidRPr="00887B6D">
        <w:rPr>
          <w:rFonts w:ascii="Tahoma"/>
          <w:w w:val="95"/>
        </w:rPr>
        <w:t xml:space="preserve">, </w:t>
      </w:r>
      <w:r w:rsidRPr="00887B6D">
        <w:rPr>
          <w:i/>
          <w:spacing w:val="-5"/>
          <w:w w:val="95"/>
          <w:sz w:val="9"/>
        </w:rPr>
        <w:t>at</w:t>
      </w:r>
      <w:r w:rsidRPr="00887B6D">
        <w:rPr>
          <w:i/>
          <w:sz w:val="9"/>
        </w:rPr>
        <w:tab/>
      </w:r>
      <w:r w:rsidRPr="00887B6D">
        <w:rPr>
          <w:w w:val="110"/>
        </w:rPr>
        <w:t>MDP</w:t>
      </w:r>
      <w:r w:rsidRPr="00887B6D">
        <w:rPr>
          <w:w w:val="110"/>
        </w:rPr>
        <w:t>状态与</w:t>
      </w:r>
      <w:r w:rsidRPr="00887B6D">
        <w:rPr>
          <w:spacing w:val="-2"/>
          <w:w w:val="110"/>
        </w:rPr>
        <w:t>动作</w:t>
      </w:r>
    </w:p>
    <w:p w:rsidR="003C675B" w:rsidRPr="00887B6D" w:rsidRDefault="003C675B" w:rsidP="00FA4C95">
      <w:r w:rsidRPr="00887B6D">
        <w:rPr>
          <w:i/>
        </w:rPr>
        <w:t xml:space="preserve">M </w:t>
      </w:r>
      <w:r w:rsidRPr="00887B6D">
        <w:rPr>
          <w:rFonts w:ascii="Lucida Sans Unicode"/>
          <w:spacing w:val="-5"/>
          <w:w w:val="115"/>
        </w:rPr>
        <w:t>(</w:t>
      </w:r>
      <w:r w:rsidRPr="00887B6D">
        <w:rPr>
          <w:i/>
          <w:spacing w:val="-5"/>
          <w:w w:val="115"/>
        </w:rPr>
        <w:t>i</w:t>
      </w:r>
      <w:r w:rsidRPr="00887B6D">
        <w:rPr>
          <w:rFonts w:ascii="Lucida Sans Unicode"/>
          <w:spacing w:val="-5"/>
          <w:w w:val="115"/>
        </w:rPr>
        <w:t>)</w:t>
      </w:r>
      <w:r w:rsidRPr="00887B6D">
        <w:rPr>
          <w:rFonts w:ascii="Lucida Sans Unicode"/>
        </w:rPr>
        <w:tab/>
      </w:r>
      <w:r w:rsidRPr="00887B6D">
        <w:rPr>
          <w:w w:val="115"/>
        </w:rPr>
        <w:t>动作</w:t>
      </w:r>
      <w:r w:rsidRPr="00887B6D">
        <w:rPr>
          <w:w w:val="115"/>
        </w:rPr>
        <w:t xml:space="preserve"> </w:t>
      </w:r>
      <w:r w:rsidRPr="00887B6D">
        <w:rPr>
          <w:spacing w:val="-10"/>
          <w:w w:val="115"/>
        </w:rPr>
        <w:t>i</w:t>
      </w:r>
    </w:p>
    <w:p w:rsidR="003C675B" w:rsidRPr="00887B6D" w:rsidRDefault="003C675B" w:rsidP="00FA4C95">
      <w:pPr>
        <w:ind w:firstLine="188"/>
      </w:pPr>
      <w:r w:rsidRPr="00887B6D">
        <w:rPr>
          <w:i/>
          <w:w w:val="105"/>
          <w:sz w:val="9"/>
        </w:rPr>
        <w:t>Li</w:t>
      </w:r>
      <w:r w:rsidRPr="00887B6D">
        <w:rPr>
          <w:rFonts w:ascii="Tahoma" w:hAnsi="Tahoma"/>
          <w:w w:val="105"/>
        </w:rPr>
        <w:t xml:space="preserve">, </w:t>
      </w:r>
      <w:r w:rsidRPr="00887B6D">
        <w:rPr>
          <w:i/>
          <w:w w:val="105"/>
        </w:rPr>
        <w:t>i</w:t>
      </w:r>
      <w:r w:rsidRPr="00887B6D">
        <w:rPr>
          <w:rFonts w:ascii="Lucida Sans Unicode" w:hAnsi="Lucida Sans Unicode"/>
          <w:w w:val="105"/>
        </w:rPr>
        <w:t xml:space="preserve"> ∈ {</w:t>
      </w:r>
      <w:r w:rsidRPr="00887B6D">
        <w:rPr>
          <w:w w:val="105"/>
        </w:rPr>
        <w:t>1</w:t>
      </w:r>
      <w:r w:rsidRPr="00887B6D">
        <w:rPr>
          <w:rFonts w:ascii="Tahoma" w:hAnsi="Tahoma"/>
          <w:w w:val="105"/>
        </w:rPr>
        <w:t>,</w:t>
      </w:r>
      <w:r w:rsidRPr="00887B6D">
        <w:rPr>
          <w:w w:val="105"/>
        </w:rPr>
        <w:t xml:space="preserve"> 2</w:t>
      </w:r>
      <w:r w:rsidRPr="00887B6D">
        <w:rPr>
          <w:rFonts w:ascii="Tahoma" w:hAnsi="Tahoma"/>
          <w:w w:val="105"/>
        </w:rPr>
        <w:t>,</w:t>
      </w:r>
      <w:r w:rsidRPr="00887B6D">
        <w:rPr>
          <w:w w:val="105"/>
        </w:rPr>
        <w:t xml:space="preserve"> 3</w:t>
      </w:r>
      <w:r w:rsidRPr="00887B6D">
        <w:rPr>
          <w:rFonts w:ascii="Tahoma" w:hAnsi="Tahoma"/>
          <w:w w:val="105"/>
        </w:rPr>
        <w:t>,</w:t>
      </w:r>
      <w:r w:rsidRPr="00887B6D">
        <w:rPr>
          <w:spacing w:val="-5"/>
          <w:w w:val="105"/>
        </w:rPr>
        <w:t xml:space="preserve"> 4</w:t>
      </w:r>
      <w:r w:rsidRPr="00887B6D">
        <w:rPr>
          <w:rFonts w:ascii="Lucida Sans Unicode" w:hAnsi="Lucida Sans Unicode"/>
          <w:spacing w:val="-5"/>
          <w:w w:val="105"/>
        </w:rPr>
        <w:t>}</w:t>
      </w:r>
      <w:r w:rsidRPr="00887B6D">
        <w:rPr>
          <w:rFonts w:ascii="Lucida Sans Unicode" w:hAnsi="Lucida Sans Unicode"/>
        </w:rPr>
        <w:tab/>
      </w:r>
      <w:r w:rsidRPr="00887B6D">
        <w:rPr>
          <w:w w:val="110"/>
        </w:rPr>
        <w:t>风险等级区域</w:t>
      </w:r>
      <w:r w:rsidRPr="00887B6D">
        <w:rPr>
          <w:spacing w:val="-2"/>
          <w:w w:val="110"/>
        </w:rPr>
        <w:t>索引</w:t>
      </w:r>
    </w:p>
    <w:p w:rsidR="003C675B" w:rsidRPr="00887B6D" w:rsidRDefault="003C675B" w:rsidP="00FA4C95">
      <w:pPr>
        <w:ind w:firstLine="511"/>
      </w:pPr>
      <w:r w:rsidRPr="00887B6D">
        <w:rPr>
          <w:i/>
          <w:spacing w:val="-10"/>
          <w:w w:val="115"/>
        </w:rPr>
        <w:t>C</w:t>
      </w:r>
      <w:r w:rsidRPr="00887B6D">
        <w:rPr>
          <w:i/>
        </w:rPr>
        <w:tab/>
      </w:r>
      <w:r w:rsidRPr="00887B6D">
        <w:rPr>
          <w:w w:val="115"/>
        </w:rPr>
        <w:t>总体</w:t>
      </w:r>
      <w:r w:rsidRPr="00887B6D">
        <w:rPr>
          <w:spacing w:val="-2"/>
          <w:w w:val="115"/>
        </w:rPr>
        <w:t>覆盖率</w:t>
      </w:r>
    </w:p>
    <w:p w:rsidR="003C675B" w:rsidRPr="00887B6D" w:rsidRDefault="003C675B" w:rsidP="00FA4C95">
      <w:pPr>
        <w:ind w:firstLine="511"/>
      </w:pPr>
      <w:r w:rsidRPr="00887B6D">
        <w:rPr>
          <w:i/>
          <w:spacing w:val="-10"/>
          <w:w w:val="115"/>
        </w:rPr>
        <w:t>L</w:t>
      </w:r>
      <w:r w:rsidRPr="00887B6D">
        <w:rPr>
          <w:i/>
        </w:rPr>
        <w:tab/>
      </w:r>
      <w:r w:rsidRPr="00887B6D">
        <w:rPr>
          <w:w w:val="115"/>
        </w:rPr>
        <w:t>总路径</w:t>
      </w:r>
      <w:r w:rsidRPr="00887B6D">
        <w:rPr>
          <w:spacing w:val="-2"/>
          <w:w w:val="115"/>
        </w:rPr>
        <w:t>长度</w:t>
      </w:r>
    </w:p>
    <w:p w:rsidR="003C675B" w:rsidRPr="00887B6D" w:rsidRDefault="003C675B" w:rsidP="00FA4C95">
      <w:pPr>
        <w:ind w:firstLine="485"/>
      </w:pPr>
      <w:r w:rsidRPr="00887B6D">
        <w:rPr>
          <w:i/>
          <w:spacing w:val="-10"/>
          <w:w w:val="110"/>
        </w:rPr>
        <w:t>P</w:t>
      </w:r>
      <w:r w:rsidRPr="00887B6D">
        <w:rPr>
          <w:i/>
        </w:rPr>
        <w:tab/>
      </w:r>
      <w:r w:rsidRPr="00887B6D">
        <w:rPr>
          <w:w w:val="110"/>
        </w:rPr>
        <w:t>点</w:t>
      </w:r>
      <w:r w:rsidRPr="00887B6D">
        <w:rPr>
          <w:spacing w:val="-2"/>
          <w:w w:val="110"/>
        </w:rPr>
        <w:t>云</w:t>
      </w:r>
    </w:p>
    <w:p w:rsidR="003C675B" w:rsidRPr="00887B6D" w:rsidRDefault="003C675B" w:rsidP="00FA4C95">
      <w:pPr>
        <w:ind w:firstLine="511"/>
      </w:pPr>
      <w:r w:rsidRPr="00887B6D">
        <w:rPr>
          <w:i/>
          <w:spacing w:val="-10"/>
          <w:w w:val="115"/>
        </w:rPr>
        <w:t>J</w:t>
      </w:r>
      <w:r w:rsidRPr="00887B6D">
        <w:rPr>
          <w:i/>
        </w:rPr>
        <w:tab/>
      </w:r>
      <w:r w:rsidRPr="00887B6D">
        <w:rPr>
          <w:w w:val="115"/>
        </w:rPr>
        <w:t>RDSR</w:t>
      </w:r>
      <w:r w:rsidRPr="00887B6D">
        <w:rPr>
          <w:w w:val="115"/>
        </w:rPr>
        <w:t>优化目标</w:t>
      </w:r>
      <w:r w:rsidRPr="00887B6D">
        <w:rPr>
          <w:spacing w:val="-2"/>
          <w:w w:val="115"/>
        </w:rPr>
        <w:t>值</w:t>
      </w:r>
    </w:p>
    <w:p w:rsidR="003C675B" w:rsidRPr="00887B6D" w:rsidRDefault="003C675B" w:rsidP="00FA4C95">
      <w:pPr>
        <w:ind w:firstLine="511"/>
      </w:pPr>
      <w:r w:rsidRPr="00887B6D">
        <w:rPr>
          <w:i/>
          <w:spacing w:val="-10"/>
          <w:w w:val="115"/>
        </w:rPr>
        <w:t>l</w:t>
      </w:r>
      <w:r w:rsidRPr="00887B6D">
        <w:rPr>
          <w:i/>
        </w:rPr>
        <w:tab/>
      </w:r>
      <w:r w:rsidRPr="00887B6D">
        <w:rPr>
          <w:w w:val="115"/>
        </w:rPr>
        <w:t>边</w:t>
      </w:r>
      <w:r w:rsidRPr="00887B6D">
        <w:rPr>
          <w:spacing w:val="-10"/>
          <w:w w:val="115"/>
        </w:rPr>
        <w:t>j</w:t>
      </w:r>
      <w:r w:rsidRPr="00887B6D">
        <w:rPr>
          <w:w w:val="115"/>
        </w:rPr>
        <w:t>的长度</w:t>
      </w:r>
    </w:p>
    <w:p w:rsidR="003C675B" w:rsidRPr="00887B6D" w:rsidRDefault="003C675B" w:rsidP="00FA4C95">
      <w:pPr>
        <w:ind w:firstLine="485"/>
      </w:pPr>
      <w:r w:rsidRPr="00887B6D">
        <w:rPr>
          <w:i/>
          <w:spacing w:val="-10"/>
          <w:w w:val="110"/>
        </w:rPr>
        <w:t>F</w:t>
      </w:r>
      <w:r w:rsidRPr="00887B6D">
        <w:rPr>
          <w:i/>
        </w:rPr>
        <w:tab/>
      </w:r>
      <w:r w:rsidRPr="00887B6D">
        <w:rPr>
          <w:w w:val="110"/>
        </w:rPr>
        <w:t>网格</w:t>
      </w:r>
      <w:r w:rsidRPr="00887B6D">
        <w:rPr>
          <w:spacing w:val="-2"/>
          <w:w w:val="110"/>
        </w:rPr>
        <w:t>片</w:t>
      </w:r>
      <w:r w:rsidRPr="00887B6D">
        <w:rPr>
          <w:w w:val="110"/>
        </w:rPr>
        <w:t>集合</w:t>
      </w:r>
    </w:p>
    <w:p w:rsidR="003C675B" w:rsidRPr="00887B6D" w:rsidRDefault="003C675B" w:rsidP="00FA4C95">
      <w:pPr>
        <w:ind w:firstLine="511"/>
      </w:pPr>
      <w:r w:rsidRPr="00887B6D">
        <w:rPr>
          <w:i/>
          <w:spacing w:val="-10"/>
          <w:w w:val="115"/>
        </w:rPr>
        <w:t>E</w:t>
      </w:r>
      <w:r w:rsidRPr="00887B6D">
        <w:rPr>
          <w:i/>
        </w:rPr>
        <w:tab/>
      </w:r>
      <w:r w:rsidRPr="00887B6D">
        <w:rPr>
          <w:w w:val="115"/>
        </w:rPr>
        <w:t>相邻补片</w:t>
      </w:r>
      <w:r w:rsidRPr="00887B6D">
        <w:rPr>
          <w:spacing w:val="-2"/>
          <w:w w:val="115"/>
        </w:rPr>
        <w:t>对</w:t>
      </w:r>
      <w:r w:rsidRPr="00887B6D">
        <w:rPr>
          <w:w w:val="115"/>
        </w:rPr>
        <w:t>的集合</w:t>
      </w:r>
    </w:p>
    <w:p w:rsidR="003C675B" w:rsidRDefault="003C675B" w:rsidP="00FA4C95">
      <w:pPr>
        <w:ind w:firstLine="187"/>
      </w:pPr>
      <w:r>
        <w:rPr>
          <w:i/>
          <w:spacing w:val="-5"/>
          <w:w w:val="115"/>
          <w:sz w:val="9"/>
        </w:rPr>
        <w:t>fi</w:t>
      </w:r>
      <w:r>
        <w:rPr>
          <w:i/>
          <w:sz w:val="9"/>
        </w:rPr>
        <w:tab/>
      </w:r>
      <w:r>
        <w:rPr>
          <w:w w:val="115"/>
        </w:rPr>
        <w:t>网格补丁</w:t>
      </w:r>
      <w:r>
        <w:rPr>
          <w:spacing w:val="-2"/>
          <w:w w:val="115"/>
        </w:rPr>
        <w:t>索引</w:t>
      </w:r>
    </w:p>
    <w:p w:rsidR="003C675B" w:rsidRPr="00887B6D" w:rsidRDefault="003C675B" w:rsidP="00FA4C95">
      <w:pPr>
        <w:ind w:firstLine="503"/>
      </w:pPr>
      <w:r>
        <w:rPr>
          <w:i/>
          <w:w w:val="105"/>
        </w:rPr>
        <w:t>B</w:t>
      </w:r>
      <w:r>
        <w:rPr>
          <w:i/>
          <w:w w:val="105"/>
          <w:vertAlign w:val="subscript"/>
        </w:rPr>
        <w:t>k</w:t>
      </w:r>
      <w:r>
        <w:rPr>
          <w:rFonts w:ascii="Tahoma"/>
          <w:w w:val="105"/>
        </w:rPr>
        <w:t xml:space="preserve"> , </w:t>
      </w:r>
      <w:r>
        <w:rPr>
          <w:i/>
          <w:spacing w:val="-5"/>
          <w:w w:val="115"/>
        </w:rPr>
        <w:t>N</w:t>
      </w:r>
      <w:r>
        <w:rPr>
          <w:i/>
          <w:spacing w:val="-5"/>
          <w:w w:val="115"/>
          <w:vertAlign w:val="subscript"/>
        </w:rPr>
        <w:t>B</w:t>
      </w:r>
      <w:r>
        <w:rPr>
          <w:i/>
        </w:rPr>
        <w:tab/>
      </w:r>
      <w:r>
        <w:rPr>
          <w:w w:val="115"/>
        </w:rPr>
        <w:t>叶片子簇</w:t>
      </w:r>
      <w:r>
        <w:rPr>
          <w:w w:val="115"/>
        </w:rPr>
        <w:t xml:space="preserve"> k </w:t>
      </w:r>
      <w:r>
        <w:rPr>
          <w:w w:val="115"/>
        </w:rPr>
        <w:t>及</w:t>
      </w:r>
      <w:r>
        <w:rPr>
          <w:spacing w:val="-2"/>
          <w:w w:val="115"/>
        </w:rPr>
        <w:t>叶片</w:t>
      </w:r>
      <w:r>
        <w:rPr>
          <w:w w:val="115"/>
        </w:rPr>
        <w:t>数量</w:t>
      </w:r>
    </w:p>
    <w:p w:rsidR="003C675B" w:rsidRDefault="003C675B" w:rsidP="008330F3">
      <w:pPr>
        <w:rPr>
          <w:rFonts w:hint="eastAsia"/>
        </w:rPr>
      </w:pPr>
      <w:r>
        <w:rPr>
          <w:noProof/>
        </w:rPr>
        <mc:AlternateContent>
          <mc:Choice Requires="wpg">
            <w:drawing>
              <wp:inline distT="0" distB="0" distL="0" distR="0" wp14:anchorId="7E517957" wp14:editId="16A908ED">
                <wp:extent cx="318897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6350"/>
                          <a:chOff x="0" y="0"/>
                          <a:chExt cx="3188970" cy="6350"/>
                        </a:xfrm>
                      </wpg:grpSpPr>
                      <wps:wsp>
                        <wps:cNvPr id="24" name="Graphic 24"/>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14="http://schemas.microsoft.com/office/drawing/2010/main">
            <w:pict>
              <v:group id="Group 23" style="width:251.1pt;height:.5pt;mso-position-horizontal-relative:char;mso-position-vertical-relative:line" coordsize="31889,6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" w14:anchorId="32AAF77C">
                <v:shape id="Graphic 24" style="position:absolute;width:31889;height:63;visibility:visible;mso-wrap-style:square;v-text-anchor:top" coordsize="3188970,6350" o:spid="_x0000_s1027" fillcolor="black" stroked="f" path="m3188437,l,,,6324r3188437,l31884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">
                  <v:path arrowok="t"/>
                </v:shape>
                <w10:anchorlock/>
              </v:group>
            </w:pict>
          </mc:Fallback>
        </mc:AlternateContent>
      </w:r>
    </w:p>
    <w:p w:rsidR="003C675B" w:rsidRPr="003C675B" w:rsidRDefault="003C675B" w:rsidP="00FA4C95">
      <w:pPr>
        <w:ind w:firstLine="525"/>
        <w:rPr>
          <w:w w:val="110"/>
        </w:rPr>
      </w:pPr>
      <w:r>
        <w:rPr>
          <w:w w:val="110"/>
        </w:rPr>
        <w:t>本文的贡献</w:t>
      </w:r>
      <w:r w:rsidRPr="003C675B">
        <w:rPr>
          <w:w w:val="110"/>
        </w:rPr>
        <w:t>如下：</w:t>
      </w:r>
    </w:p>
    <w:p w:rsidR="003C675B" w:rsidRPr="00887B6D" w:rsidRDefault="003C675B" w:rsidP="00FA4C95">
      <w:pPr>
        <w:pStyle w:val="a9"/>
        <w:numPr>
          <w:ilvl w:val="0"/>
          <w:numId w:val="7"/>
        </w:numPr>
        <w:ind w:firstLineChars="0"/>
        <w:rPr>
          <w:w w:val="110"/>
        </w:rPr>
      </w:pPr>
      <w:r w:rsidRPr="00887B6D">
        <w:rPr>
          <w:w w:val="110"/>
        </w:rPr>
        <w:t>提出了一种基于计算机辅助设计（</w:t>
      </w:r>
      <w:r w:rsidRPr="00887B6D">
        <w:rPr>
          <w:w w:val="110"/>
        </w:rPr>
        <w:t>CAD</w:t>
      </w:r>
      <w:r w:rsidRPr="00887B6D">
        <w:rPr>
          <w:w w:val="110"/>
        </w:rPr>
        <w:t>）模型的视点规划方法，建立了一个将候选视点生成与策略优化相结合的两阶段框架，从而能够优先观察缺陷敏感区域，并动</w:t>
      </w:r>
      <w:r w:rsidRPr="00887B6D">
        <w:rPr>
          <w:w w:val="110"/>
        </w:rPr>
        <w:lastRenderedPageBreak/>
        <w:t>态平衡全局扫描效率。</w:t>
      </w:r>
    </w:p>
    <w:p w:rsidR="003C675B" w:rsidRPr="00887B6D" w:rsidRDefault="003C675B" w:rsidP="00FA4C95">
      <w:pPr>
        <w:pStyle w:val="a9"/>
        <w:numPr>
          <w:ilvl w:val="0"/>
          <w:numId w:val="7"/>
        </w:numPr>
        <w:ind w:firstLineChars="0"/>
        <w:rPr>
          <w:w w:val="110"/>
        </w:rPr>
      </w:pPr>
      <w:r w:rsidRPr="00887B6D">
        <w:rPr>
          <w:w w:val="110"/>
        </w:rPr>
        <w:t>在候选视点生成阶段，引入了基于风险的自适应采样和遮挡扰动恢复机制，该机制在高风险区域分配更密集的视点，并恢复被遮挡的候选视点，从而在提高覆盖完整性的同时避免过度冗余。</w:t>
      </w:r>
    </w:p>
    <w:p w:rsidR="003C675B" w:rsidRPr="008330F3" w:rsidRDefault="003C675B" w:rsidP="008330F3">
      <w:pPr>
        <w:pStyle w:val="a9"/>
        <w:numPr>
          <w:ilvl w:val="0"/>
          <w:numId w:val="7"/>
        </w:numPr>
        <w:ind w:firstLineChars="0"/>
        <w:rPr>
          <w:rFonts w:hint="eastAsia"/>
          <w:w w:val="110"/>
        </w:rPr>
      </w:pPr>
      <w:r w:rsidRPr="00887B6D">
        <w:rPr>
          <w:w w:val="110"/>
        </w:rPr>
        <w:t>在策略优化阶段，将视点选择建模为马尔科夫决策过程（</w:t>
      </w:r>
      <w:r w:rsidRPr="00887B6D">
        <w:rPr>
          <w:w w:val="110"/>
        </w:rPr>
        <w:t>MDP</w:t>
      </w:r>
      <w:r w:rsidRPr="00887B6D">
        <w:rPr>
          <w:w w:val="110"/>
        </w:rPr>
        <w:t>）。设计了一种整合覆盖增益、冗余惩罚和路径成本的奖励结构，用于训练面向任务的最优扫描策略。</w:t>
      </w:r>
    </w:p>
    <w:p w:rsidR="003C675B" w:rsidRPr="003C675B" w:rsidRDefault="003C675B" w:rsidP="00FA4C95">
      <w:pPr>
        <w:ind w:firstLine="525"/>
        <w:rPr>
          <w:rFonts w:hint="eastAsia"/>
          <w:w w:val="110"/>
        </w:rPr>
      </w:pPr>
      <w:r>
        <w:rPr>
          <w:w w:val="110"/>
        </w:rPr>
        <w:t>本文其余部分组织如下：</w:t>
      </w:r>
      <w:hyperlink w:anchor="_bookmark2" w:history="1">
        <w:r w:rsidRPr="003C675B">
          <w:rPr>
            <w:w w:val="110"/>
          </w:rPr>
          <w:t>第</w:t>
        </w:r>
        <w:r w:rsidRPr="003C675B">
          <w:rPr>
            <w:w w:val="110"/>
          </w:rPr>
          <w:t>2</w:t>
        </w:r>
        <w:r w:rsidRPr="003C675B">
          <w:rPr>
            <w:w w:val="110"/>
          </w:rPr>
          <w:t>节</w:t>
        </w:r>
      </w:hyperlink>
      <w:r>
        <w:rPr>
          <w:w w:val="110"/>
        </w:rPr>
        <w:t>回顾了相关工作，重点关注覆盖路径优化方法；</w:t>
      </w:r>
      <w:hyperlink w:anchor="_bookmark3" w:history="1">
        <w:r w:rsidRPr="003C675B">
          <w:rPr>
            <w:w w:val="110"/>
          </w:rPr>
          <w:t>第</w:t>
        </w:r>
        <w:r w:rsidRPr="003C675B">
          <w:rPr>
            <w:w w:val="110"/>
          </w:rPr>
          <w:t>3</w:t>
        </w:r>
        <w:r w:rsidRPr="003C675B">
          <w:rPr>
            <w:w w:val="110"/>
          </w:rPr>
          <w:t>节</w:t>
        </w:r>
      </w:hyperlink>
      <w:r>
        <w:rPr>
          <w:w w:val="110"/>
        </w:rPr>
        <w:t>介绍了所提方法，包括粗规划和细规划策略；</w:t>
      </w:r>
      <w:hyperlink w:anchor="_bookmark17" w:history="1">
        <w:r w:rsidRPr="003C675B">
          <w:rPr>
            <w:w w:val="110"/>
          </w:rPr>
          <w:t>第</w:t>
        </w:r>
        <w:r w:rsidRPr="003C675B">
          <w:rPr>
            <w:w w:val="110"/>
          </w:rPr>
          <w:t>4</w:t>
        </w:r>
        <w:r w:rsidRPr="003C675B">
          <w:rPr>
            <w:w w:val="110"/>
          </w:rPr>
          <w:t>节</w:t>
        </w:r>
      </w:hyperlink>
      <w:r>
        <w:rPr>
          <w:w w:val="110"/>
        </w:rPr>
        <w:t>通过仿真和真实平台实验对该方法进行验证，并在覆盖范围、路径效率和重建精度方面将其性能与基线算法进行了比较；</w:t>
      </w:r>
      <w:hyperlink w:anchor="_bookmark35" w:history="1">
        <w:r w:rsidRPr="003C675B">
          <w:rPr>
            <w:w w:val="110"/>
          </w:rPr>
          <w:t>第</w:t>
        </w:r>
        <w:r w:rsidRPr="003C675B">
          <w:rPr>
            <w:w w:val="110"/>
          </w:rPr>
          <w:t>5</w:t>
        </w:r>
        <w:r w:rsidRPr="003C675B">
          <w:rPr>
            <w:w w:val="110"/>
          </w:rPr>
          <w:t>节</w:t>
        </w:r>
      </w:hyperlink>
      <w:r>
        <w:rPr>
          <w:w w:val="110"/>
        </w:rPr>
        <w:t>总结了本文。</w:t>
      </w:r>
    </w:p>
    <w:p w:rsidR="003C675B" w:rsidRPr="00887B6D" w:rsidRDefault="00887B6D" w:rsidP="00FA4C95">
      <w:pPr>
        <w:pStyle w:val="1"/>
        <w:rPr>
          <w:w w:val="110"/>
          <w:lang w:eastAsia="en-US"/>
        </w:rPr>
      </w:pPr>
      <w:r>
        <w:rPr>
          <w:w w:val="110"/>
          <w:lang w:eastAsia="en-US"/>
        </w:rPr>
        <w:t>2.</w:t>
      </w:r>
      <w:r w:rsidR="003C675B" w:rsidRPr="003C675B">
        <w:rPr>
          <w:w w:val="110"/>
          <w:lang w:eastAsia="en-US"/>
        </w:rPr>
        <w:t>HYPERLINK “SPS:id::Sec1” HYPERLINK “SPS:id::Sec1”</w:t>
      </w:r>
      <w:r w:rsidR="003C675B" w:rsidRPr="00887B6D">
        <w:rPr>
          <w:w w:val="110"/>
          <w:lang w:eastAsia="en-US"/>
        </w:rPr>
        <w:t xml:space="preserve"> </w:t>
      </w:r>
      <w:r w:rsidR="003C675B" w:rsidRPr="00887B6D">
        <w:rPr>
          <w:rFonts w:ascii="微软雅黑" w:eastAsia="微软雅黑" w:hAnsi="微软雅黑" w:cs="微软雅黑" w:hint="eastAsia"/>
          <w:w w:val="110"/>
          <w:lang w:eastAsia="en-US"/>
        </w:rPr>
        <w:t>相关工作</w:t>
      </w:r>
    </w:p>
    <w:p w:rsidR="003C675B" w:rsidRPr="003C675B" w:rsidRDefault="003C675B" w:rsidP="00FA4C95">
      <w:pPr>
        <w:ind w:firstLine="525"/>
        <w:rPr>
          <w:w w:val="110"/>
        </w:rPr>
      </w:pPr>
      <w:r w:rsidRPr="003C675B">
        <w:rPr>
          <w:w w:val="110"/>
          <w:lang w:eastAsia="en-US"/>
        </w:rPr>
        <w:t>在工业机器人视觉检测任务中，覆盖路径规划（</w:t>
      </w:r>
      <w:r w:rsidRPr="003C675B">
        <w:rPr>
          <w:w w:val="110"/>
          <w:lang w:eastAsia="en-US"/>
        </w:rPr>
        <w:t>CPP</w:t>
      </w:r>
      <w:r w:rsidRPr="003C675B">
        <w:rPr>
          <w:w w:val="110"/>
          <w:lang w:eastAsia="en-US"/>
        </w:rPr>
        <w:t>）在将任务目标与执行策略相联系方面发挥着至关重要的</w:t>
      </w:r>
      <w:r w:rsidRPr="003C675B">
        <w:rPr>
          <w:w w:val="110"/>
          <w:lang w:eastAsia="en-US"/>
        </w:rPr>
        <w:t xml:space="preserve"> </w:t>
      </w:r>
      <w:r w:rsidRPr="003C675B">
        <w:rPr>
          <w:w w:val="110"/>
          <w:lang w:eastAsia="en-US"/>
        </w:rPr>
        <w:t>作用。</w:t>
      </w:r>
      <w:r w:rsidRPr="003C675B">
        <w:rPr>
          <w:w w:val="110"/>
        </w:rPr>
        <w:t>其目标是规划一条扫描路径，在满足观测完整性和路径可行性约束的同时，最大限度地提高表面覆盖率。</w:t>
      </w:r>
      <w:r w:rsidRPr="003C675B">
        <w:rPr>
          <w:w w:val="110"/>
        </w:rPr>
        <w:t>CPP</w:t>
      </w:r>
      <w:r w:rsidRPr="003C675B">
        <w:rPr>
          <w:w w:val="110"/>
        </w:rPr>
        <w:t>最初在清洁机器人和农业作业等领域被提出</w:t>
      </w:r>
      <w:hyperlink w:anchor="_bookmark46" w:history="1">
        <w:r w:rsidRPr="003C675B">
          <w:rPr>
            <w:rStyle w:val="aa"/>
            <w:rFonts w:cs="Times New Roman"/>
            <w:w w:val="110"/>
            <w:kern w:val="0"/>
            <w:szCs w:val="16"/>
          </w:rPr>
          <w:t>[8–10]</w:t>
        </w:r>
      </w:hyperlink>
      <w:r w:rsidRPr="003C675B">
        <w:rPr>
          <w:w w:val="110"/>
        </w:rPr>
        <w:t>，后来在</w:t>
      </w:r>
      <w:r w:rsidRPr="003C675B">
        <w:rPr>
          <w:w w:val="110"/>
        </w:rPr>
        <w:t>3D</w:t>
      </w:r>
      <w:r w:rsidRPr="003C675B">
        <w:rPr>
          <w:w w:val="110"/>
        </w:rPr>
        <w:t>建模和视觉测量中得到了广泛应用。</w:t>
      </w:r>
      <w:r w:rsidRPr="003C675B">
        <w:rPr>
          <w:w w:val="110"/>
        </w:rPr>
        <w:t xml:space="preserve"> </w:t>
      </w:r>
      <w:r w:rsidRPr="003C675B">
        <w:rPr>
          <w:w w:val="110"/>
        </w:rPr>
        <w:t>典型的</w:t>
      </w:r>
      <w:r w:rsidRPr="003C675B">
        <w:rPr>
          <w:w w:val="110"/>
        </w:rPr>
        <w:t>CPP</w:t>
      </w:r>
      <w:r w:rsidRPr="003C675B">
        <w:rPr>
          <w:w w:val="110"/>
        </w:rPr>
        <w:t>过程包括生成一组候选视点、选择最优子集，并规划连接这些视点的执行路径。</w:t>
      </w:r>
      <w:r w:rsidRPr="003C675B">
        <w:rPr>
          <w:w w:val="110"/>
        </w:rPr>
        <w:t>CPP</w:t>
      </w:r>
      <w:r w:rsidRPr="003C675B">
        <w:rPr>
          <w:w w:val="110"/>
        </w:rPr>
        <w:t>通常可分解为两个子问题：视点规划和路径优化。</w:t>
      </w:r>
      <w:r w:rsidRPr="003C675B">
        <w:rPr>
          <w:w w:val="110"/>
        </w:rPr>
        <w:t xml:space="preserve"> </w:t>
      </w:r>
      <w:r w:rsidRPr="003C675B">
        <w:rPr>
          <w:w w:val="110"/>
        </w:rPr>
        <w:t>视点规划旨在确定能够有效覆盖目标表面，同时满足成像几何、遮挡可见性及测量精度约束条件的候选视点。该任务本质上是一个</w:t>
      </w:r>
      <w:r w:rsidRPr="003C675B">
        <w:rPr>
          <w:w w:val="110"/>
        </w:rPr>
        <w:t>NP</w:t>
      </w:r>
      <w:r w:rsidRPr="003C675B">
        <w:rPr>
          <w:w w:val="110"/>
        </w:rPr>
        <w:t>难的集合覆盖问题（</w:t>
      </w:r>
      <w:r w:rsidRPr="003C675B">
        <w:rPr>
          <w:w w:val="110"/>
        </w:rPr>
        <w:t>SCP</w:t>
      </w:r>
      <w:r w:rsidRPr="003C675B">
        <w:rPr>
          <w:w w:val="110"/>
        </w:rPr>
        <w:t>）</w:t>
      </w:r>
      <w:hyperlink w:anchor="_bookmark48" w:history="1">
        <w:r w:rsidRPr="003C675B">
          <w:rPr>
            <w:rStyle w:val="aa"/>
            <w:rFonts w:cs="Times New Roman"/>
            <w:w w:val="110"/>
            <w:kern w:val="0"/>
            <w:szCs w:val="16"/>
          </w:rPr>
          <w:t>[11]</w:t>
        </w:r>
      </w:hyperlink>
      <w:r w:rsidRPr="003C675B">
        <w:rPr>
          <w:w w:val="110"/>
        </w:rPr>
        <w:t>或其变体，通常采用启发式或近似算法进行求解。路径优化通常被建模为旅行推销员问题（</w:t>
      </w:r>
      <w:r w:rsidRPr="003C675B">
        <w:rPr>
          <w:w w:val="110"/>
        </w:rPr>
        <w:t>TSP</w:t>
      </w:r>
      <w:r w:rsidRPr="003C675B">
        <w:rPr>
          <w:w w:val="110"/>
        </w:rPr>
        <w:t>），旨在在不发生碰撞的情况下最小化遍历成本。</w:t>
      </w:r>
    </w:p>
    <w:p w:rsidR="003C675B" w:rsidRDefault="003C675B" w:rsidP="00FA4C95">
      <w:pPr>
        <w:ind w:firstLine="525"/>
      </w:pPr>
      <w:r w:rsidRPr="003C675B">
        <w:rPr>
          <w:w w:val="110"/>
        </w:rPr>
        <w:t>视点规划方法通常分为基于模型的方法和基于探索的方法。基于模型的方法遵循</w:t>
      </w:r>
      <w:r w:rsidRPr="003C675B">
        <w:rPr>
          <w:w w:val="110"/>
        </w:rPr>
        <w:t>“</w:t>
      </w:r>
      <w:r w:rsidRPr="003C675B">
        <w:rPr>
          <w:w w:val="110"/>
        </w:rPr>
        <w:t>生成</w:t>
      </w:r>
      <w:r w:rsidRPr="003C675B">
        <w:rPr>
          <w:w w:val="110"/>
        </w:rPr>
        <w:t>-</w:t>
      </w:r>
      <w:r w:rsidRPr="003C675B">
        <w:rPr>
          <w:w w:val="110"/>
        </w:rPr>
        <w:t>测试</w:t>
      </w:r>
      <w:r w:rsidRPr="003C675B">
        <w:rPr>
          <w:w w:val="110"/>
        </w:rPr>
        <w:t>”</w:t>
      </w:r>
      <w:r w:rsidRPr="003C675B">
        <w:rPr>
          <w:w w:val="110"/>
        </w:rPr>
        <w:t>范式</w:t>
      </w:r>
      <w:hyperlink w:anchor="_bookmark49" w:history="1">
        <w:r w:rsidRPr="003C675B">
          <w:t>[12–14]</w:t>
        </w:r>
      </w:hyperlink>
      <w:r w:rsidRPr="003C675B">
        <w:rPr>
          <w:w w:val="110"/>
        </w:rPr>
        <w:t>，即从</w:t>
      </w:r>
      <w:r w:rsidRPr="003C675B">
        <w:rPr>
          <w:w w:val="110"/>
        </w:rPr>
        <w:t>CAD</w:t>
      </w:r>
      <w:r w:rsidRPr="003C675B">
        <w:rPr>
          <w:w w:val="110"/>
        </w:rPr>
        <w:t>模型中生成候选视点，然后进行离线评估以选出最优子集</w:t>
      </w:r>
      <w:hyperlink w:anchor="_bookmark51" w:history="1">
        <w:r w:rsidRPr="003C675B">
          <w:t>[15]</w:t>
        </w:r>
      </w:hyperlink>
      <w:r w:rsidRPr="003C675B">
        <w:rPr>
          <w:w w:val="110"/>
        </w:rPr>
        <w:t>。候选视点的生成策略包括空间采样、顶点采样和片段采样</w:t>
      </w:r>
      <w:hyperlink w:anchor="_bookmark52" w:history="1">
        <w:r w:rsidRPr="003C675B">
          <w:t>[16]</w:t>
        </w:r>
      </w:hyperlink>
      <w:r w:rsidRPr="003C675B">
        <w:rPr>
          <w:w w:val="110"/>
        </w:rPr>
        <w:t>。例如，</w:t>
      </w:r>
      <w:r w:rsidRPr="003C675B">
        <w:rPr>
          <w:w w:val="110"/>
        </w:rPr>
        <w:t>Wang</w:t>
      </w:r>
      <w:r w:rsidRPr="003C675B">
        <w:rPr>
          <w:w w:val="110"/>
        </w:rPr>
        <w:t>等人</w:t>
      </w:r>
      <w:r w:rsidRPr="003C675B">
        <w:rPr>
          <w:w w:val="110"/>
        </w:rPr>
        <w:t xml:space="preserve"> </w:t>
      </w:r>
      <w:hyperlink w:anchor="_bookmark44" w:history="1">
        <w:r w:rsidRPr="003C675B">
          <w:t>[5]</w:t>
        </w:r>
      </w:hyperlink>
      <w:r w:rsidRPr="003C675B">
        <w:rPr>
          <w:w w:val="110"/>
        </w:rPr>
        <w:t xml:space="preserve"> </w:t>
      </w:r>
      <w:r w:rsidRPr="003C675B">
        <w:rPr>
          <w:w w:val="110"/>
        </w:rPr>
        <w:t>对球面网格候选视点应用了</w:t>
      </w:r>
      <w:r w:rsidRPr="003C675B">
        <w:rPr>
          <w:w w:val="110"/>
        </w:rPr>
        <w:t>“</w:t>
      </w:r>
      <w:r w:rsidRPr="003C675B">
        <w:rPr>
          <w:w w:val="110"/>
        </w:rPr>
        <w:t>模拟到真实</w:t>
      </w:r>
      <w:r w:rsidRPr="003C675B">
        <w:rPr>
          <w:w w:val="110"/>
        </w:rPr>
        <w:t>”</w:t>
      </w:r>
      <w:r w:rsidRPr="003C675B">
        <w:rPr>
          <w:w w:val="110"/>
        </w:rPr>
        <w:t>的近端策略优化（</w:t>
      </w:r>
      <w:r w:rsidRPr="003C675B">
        <w:rPr>
          <w:w w:val="110"/>
        </w:rPr>
        <w:t>PPO</w:t>
      </w:r>
      <w:r w:rsidRPr="003C675B">
        <w:rPr>
          <w:w w:val="110"/>
        </w:rPr>
        <w:t>）算法，以生成运动结构重建（</w:t>
      </w:r>
      <w:r w:rsidRPr="003C675B">
        <w:rPr>
          <w:w w:val="110"/>
        </w:rPr>
        <w:t>SfM</w:t>
      </w:r>
      <w:r w:rsidRPr="003C675B">
        <w:rPr>
          <w:w w:val="110"/>
        </w:rPr>
        <w:t>）的视点序列；与简单的基线方法相比，倒角距离和土方距离分别减少了</w:t>
      </w:r>
      <w:r w:rsidRPr="003C675B">
        <w:rPr>
          <w:w w:val="110"/>
        </w:rPr>
        <w:t>12.42%</w:t>
      </w:r>
      <w:r w:rsidRPr="003C675B">
        <w:rPr>
          <w:w w:val="110"/>
        </w:rPr>
        <w:t>和</w:t>
      </w:r>
      <w:r w:rsidRPr="003C675B">
        <w:rPr>
          <w:w w:val="110"/>
        </w:rPr>
        <w:t>14.87%</w:t>
      </w:r>
      <w:r w:rsidRPr="003C675B">
        <w:rPr>
          <w:w w:val="110"/>
        </w:rPr>
        <w:t>，视点数量减少了</w:t>
      </w:r>
      <w:r w:rsidRPr="003C675B">
        <w:rPr>
          <w:w w:val="110"/>
        </w:rPr>
        <w:t>16.39%</w:t>
      </w:r>
      <w:r w:rsidRPr="003C675B">
        <w:rPr>
          <w:w w:val="110"/>
        </w:rPr>
        <w:t>。</w:t>
      </w:r>
      <w:r w:rsidRPr="003C675B">
        <w:rPr>
          <w:w w:val="110"/>
        </w:rPr>
        <w:t xml:space="preserve"> Gronle</w:t>
      </w:r>
      <w:r w:rsidRPr="003C675B">
        <w:rPr>
          <w:w w:val="110"/>
        </w:rPr>
        <w:t>等人</w:t>
      </w:r>
      <w:hyperlink w:anchor="_bookmark53" w:history="1">
        <w:r w:rsidRPr="003C675B">
          <w:t>[17]</w:t>
        </w:r>
      </w:hyperlink>
      <w:r w:rsidRPr="003C675B">
        <w:rPr>
          <w:w w:val="110"/>
        </w:rPr>
        <w:t>以网格顶点为种子生成候选视点，并在多传感器</w:t>
      </w:r>
      <w:r w:rsidRPr="003C675B">
        <w:rPr>
          <w:w w:val="110"/>
        </w:rPr>
        <w:t>/</w:t>
      </w:r>
      <w:r w:rsidRPr="003C675B">
        <w:rPr>
          <w:w w:val="110"/>
        </w:rPr>
        <w:t>多配置设置下，通过贪婪集覆盖方案评估可见性并选取视点子集；在其示例中，候选视点从</w:t>
      </w:r>
      <w:r w:rsidRPr="003C675B">
        <w:rPr>
          <w:w w:val="110"/>
        </w:rPr>
        <w:t>5746</w:t>
      </w:r>
      <w:r w:rsidRPr="003C675B">
        <w:rPr>
          <w:w w:val="110"/>
        </w:rPr>
        <w:t>个减少至</w:t>
      </w:r>
      <w:r w:rsidRPr="003C675B">
        <w:rPr>
          <w:w w:val="110"/>
        </w:rPr>
        <w:t>566</w:t>
      </w:r>
      <w:r w:rsidRPr="003C675B">
        <w:rPr>
          <w:w w:val="110"/>
        </w:rPr>
        <w:t>个，且复杂任务的规划时间据报道低于</w:t>
      </w:r>
      <w:r w:rsidRPr="003C675B">
        <w:rPr>
          <w:w w:val="110"/>
        </w:rPr>
        <w:t>4.5</w:t>
      </w:r>
      <w:r w:rsidRPr="003C675B">
        <w:rPr>
          <w:w w:val="110"/>
        </w:rPr>
        <w:t>秒。</w:t>
      </w:r>
      <w:r w:rsidRPr="003C675B">
        <w:rPr>
          <w:w w:val="110"/>
        </w:rPr>
        <w:t xml:space="preserve"> Mosbach</w:t>
      </w:r>
      <w:r w:rsidRPr="003C675B">
        <w:rPr>
          <w:w w:val="110"/>
        </w:rPr>
        <w:t>等人</w:t>
      </w:r>
      <w:hyperlink w:anchor="_bookmark54" w:history="1">
        <w:r w:rsidRPr="003C675B">
          <w:t>[18]</w:t>
        </w:r>
      </w:hyperlink>
      <w:r w:rsidRPr="003C675B">
        <w:rPr>
          <w:w w:val="110"/>
        </w:rPr>
        <w:t>采用了特征驱动的补丁采样方法，将更密集的视点分配给复杂区域，将更稀疏的视点分配给平坦区域，从而同时提高了覆盖效率和任务相关性。最近，基于体素的采样方法已被引入。</w:t>
      </w:r>
      <w:r w:rsidRPr="003C675B">
        <w:rPr>
          <w:w w:val="110"/>
        </w:rPr>
        <w:t xml:space="preserve"> </w:t>
      </w:r>
      <w:r w:rsidRPr="003C675B">
        <w:rPr>
          <w:w w:val="110"/>
        </w:rPr>
        <w:t>例如，</w:t>
      </w:r>
      <w:r w:rsidRPr="003C675B">
        <w:rPr>
          <w:w w:val="110"/>
        </w:rPr>
        <w:t xml:space="preserve">Jing </w:t>
      </w:r>
      <w:r w:rsidRPr="003C675B">
        <w:rPr>
          <w:w w:val="110"/>
        </w:rPr>
        <w:t>和</w:t>
      </w:r>
      <w:r w:rsidRPr="003C675B">
        <w:rPr>
          <w:w w:val="110"/>
        </w:rPr>
        <w:t xml:space="preserve"> Shimada </w:t>
      </w:r>
      <w:hyperlink w:anchor="_bookmark55" w:history="1">
        <w:r w:rsidRPr="003C675B">
          <w:t>[19]</w:t>
        </w:r>
      </w:hyperlink>
      <w:r w:rsidRPr="003C675B">
        <w:rPr>
          <w:w w:val="110"/>
        </w:rPr>
        <w:t xml:space="preserve"> </w:t>
      </w:r>
      <w:r w:rsidRPr="003C675B">
        <w:rPr>
          <w:w w:val="110"/>
        </w:rPr>
        <w:t>提出了一种体素扩张与中轴法，在保持覆盖范围的同时，显著减少了基于无人机（</w:t>
      </w:r>
      <w:r w:rsidRPr="003C675B">
        <w:rPr>
          <w:w w:val="110"/>
        </w:rPr>
        <w:t>UAV</w:t>
      </w:r>
      <w:r w:rsidRPr="003C675B">
        <w:rPr>
          <w:w w:val="110"/>
        </w:rPr>
        <w:t>）的城市检测中的视点数量。尽管这些方法提高了覆盖均匀性，但它们主要依赖于几何启发式算法，缺乏任务驱动的适应性</w:t>
      </w:r>
      <w:r>
        <w:rPr>
          <w:w w:val="110"/>
        </w:rPr>
        <w:t>。</w:t>
      </w:r>
      <w:r w:rsidRPr="003C675B">
        <w:rPr>
          <w:w w:val="110"/>
        </w:rPr>
        <w:t>为了进一步平衡检测效率与数据质量，一些</w:t>
      </w:r>
      <w:r>
        <w:rPr>
          <w:w w:val="110"/>
        </w:rPr>
        <w:t>研究引入了测量不确定性约束。</w:t>
      </w:r>
      <w:r>
        <w:rPr>
          <w:spacing w:val="23"/>
          <w:w w:val="110"/>
        </w:rPr>
        <w:t xml:space="preserve"> </w:t>
      </w:r>
      <w:r>
        <w:rPr>
          <w:spacing w:val="-5"/>
          <w:w w:val="110"/>
        </w:rPr>
        <w:t>Kong</w:t>
      </w:r>
      <w:r>
        <w:rPr>
          <w:spacing w:val="-5"/>
          <w:w w:val="110"/>
        </w:rPr>
        <w:t>等人</w:t>
      </w:r>
      <w:hyperlink w:anchor="_bookmark56" w:history="1">
        <w:r>
          <w:rPr>
            <w:color w:val="2196D1"/>
            <w:w w:val="110"/>
          </w:rPr>
          <w:t>[20]</w:t>
        </w:r>
      </w:hyperlink>
      <w:r>
        <w:rPr>
          <w:w w:val="110"/>
        </w:rPr>
        <w:t>专门针对大规模复杂部件的检测，提出了一种站位</w:t>
      </w:r>
      <w:r>
        <w:rPr>
          <w:w w:val="110"/>
        </w:rPr>
        <w:t>-</w:t>
      </w:r>
      <w:r>
        <w:rPr>
          <w:w w:val="110"/>
        </w:rPr>
        <w:t>视点联合规划模型。该方法通过采用遗传算法协同优化检测效率和质量，并在</w:t>
      </w:r>
      <w:r>
        <w:rPr>
          <w:w w:val="110"/>
        </w:rPr>
        <w:t>3.3</w:t>
      </w:r>
      <w:r>
        <w:rPr>
          <w:w w:val="110"/>
        </w:rPr>
        <w:t>米长的部件上进行了验证，在减少视点</w:t>
      </w:r>
      <w:r>
        <w:rPr>
          <w:w w:val="110"/>
        </w:rPr>
        <w:lastRenderedPageBreak/>
        <w:t>冗余的同时将成像质量提高了约</w:t>
      </w:r>
      <w:r>
        <w:rPr>
          <w:w w:val="110"/>
        </w:rPr>
        <w:t>2%</w:t>
      </w:r>
      <w:r>
        <w:rPr>
          <w:w w:val="110"/>
        </w:rPr>
        <w:t>，并将总运动成本显著降低了</w:t>
      </w:r>
      <w:r>
        <w:rPr>
          <w:w w:val="110"/>
        </w:rPr>
        <w:t>9.7%</w:t>
      </w:r>
      <w:r>
        <w:rPr>
          <w:w w:val="110"/>
        </w:rPr>
        <w:t>至</w:t>
      </w:r>
      <w:r>
        <w:rPr>
          <w:w w:val="110"/>
        </w:rPr>
        <w:t>17.7%</w:t>
      </w:r>
      <w:r>
        <w:rPr>
          <w:w w:val="110"/>
        </w:rPr>
        <w:t>。</w:t>
      </w:r>
      <w:r>
        <w:rPr>
          <w:w w:val="110"/>
        </w:rPr>
        <w:t xml:space="preserve"> Mahmud</w:t>
      </w:r>
      <w:r>
        <w:rPr>
          <w:w w:val="110"/>
        </w:rPr>
        <w:t>等人</w:t>
      </w:r>
      <w:hyperlink w:anchor="_bookmark57" w:history="1">
        <w:r>
          <w:rPr>
            <w:color w:val="2196D1"/>
            <w:w w:val="110"/>
          </w:rPr>
          <w:t>[21]</w:t>
        </w:r>
      </w:hyperlink>
      <w:r>
        <w:rPr>
          <w:w w:val="110"/>
        </w:rPr>
        <w:t>提出了一种受斑块入射角约束的可见性驱动采样策略，实现了在坐标测量机上进行高精度公差检测。</w:t>
      </w:r>
      <w:r>
        <w:rPr>
          <w:spacing w:val="25"/>
          <w:w w:val="110"/>
        </w:rPr>
        <w:t xml:space="preserve"> </w:t>
      </w:r>
      <w:r>
        <w:rPr>
          <w:spacing w:val="-5"/>
          <w:w w:val="110"/>
        </w:rPr>
        <w:t>Wang</w:t>
      </w:r>
      <w:r>
        <w:rPr>
          <w:spacing w:val="-5"/>
          <w:w w:val="110"/>
        </w:rPr>
        <w:t>等人</w:t>
      </w:r>
      <w:hyperlink w:anchor="_bookmark58" w:history="1">
        <w:r>
          <w:rPr>
            <w:color w:val="2196D1"/>
            <w:w w:val="110"/>
          </w:rPr>
          <w:t>[22]</w:t>
        </w:r>
      </w:hyperlink>
      <w:r>
        <w:rPr>
          <w:w w:val="110"/>
        </w:rPr>
        <w:t>将</w:t>
      </w:r>
      <w:r>
        <w:rPr>
          <w:w w:val="110"/>
        </w:rPr>
        <w:t>Phong</w:t>
      </w:r>
      <w:r>
        <w:rPr>
          <w:w w:val="110"/>
        </w:rPr>
        <w:t>反射</w:t>
      </w:r>
      <w:r>
        <w:rPr>
          <w:w w:val="110"/>
        </w:rPr>
        <w:t xml:space="preserve"> </w:t>
      </w:r>
      <w:r>
        <w:rPr>
          <w:w w:val="110"/>
        </w:rPr>
        <w:t>模型与并行深度</w:t>
      </w:r>
      <w:r>
        <w:rPr>
          <w:spacing w:val="-2"/>
          <w:w w:val="110"/>
        </w:rPr>
        <w:t>强化学习策略</w:t>
      </w:r>
      <w:r>
        <w:rPr>
          <w:w w:val="110"/>
        </w:rPr>
        <w:t>相结合，</w:t>
      </w:r>
      <w:r>
        <w:rPr>
          <w:spacing w:val="-2"/>
          <w:w w:val="110"/>
        </w:rPr>
        <w:t>以应对高</w:t>
      </w:r>
      <w:r>
        <w:rPr>
          <w:w w:val="110"/>
        </w:rPr>
        <w:t>反射表面</w:t>
      </w:r>
      <w:r>
        <w:rPr>
          <w:spacing w:val="-2"/>
          <w:w w:val="110"/>
        </w:rPr>
        <w:t>检测的挑战</w:t>
      </w:r>
      <w:r>
        <w:rPr>
          <w:w w:val="110"/>
        </w:rPr>
        <w:t>，在将可见性检查效率提高约</w:t>
      </w:r>
      <w:r>
        <w:rPr>
          <w:w w:val="110"/>
        </w:rPr>
        <w:t>24%</w:t>
      </w:r>
      <w:r>
        <w:rPr>
          <w:w w:val="110"/>
        </w:rPr>
        <w:t>的同时，将复杂规划任务的计算时间从近</w:t>
      </w:r>
      <w:r>
        <w:rPr>
          <w:w w:val="110"/>
        </w:rPr>
        <w:t>2</w:t>
      </w:r>
      <w:r>
        <w:rPr>
          <w:w w:val="110"/>
        </w:rPr>
        <w:t>小时大幅缩短至</w:t>
      </w:r>
      <w:r>
        <w:rPr>
          <w:w w:val="110"/>
        </w:rPr>
        <w:t>10</w:t>
      </w:r>
      <w:r>
        <w:rPr>
          <w:w w:val="110"/>
        </w:rPr>
        <w:t>分钟以内。</w:t>
      </w:r>
      <w:r>
        <w:rPr>
          <w:w w:val="110"/>
        </w:rPr>
        <w:t xml:space="preserve"> Wang</w:t>
      </w:r>
      <w:r>
        <w:rPr>
          <w:w w:val="110"/>
        </w:rPr>
        <w:t>等人</w:t>
      </w:r>
      <w:hyperlink w:anchor="_bookmark59" w:history="1">
        <w:r>
          <w:rPr>
            <w:color w:val="2196D1"/>
            <w:w w:val="110"/>
          </w:rPr>
          <w:t>[23]</w:t>
        </w:r>
      </w:hyperlink>
      <w:r>
        <w:rPr>
          <w:w w:val="110"/>
        </w:rPr>
        <w:t>提出了一种分层视点规划模型，该模型将多级几何表示与基于曲率和边界的置信度度量相结合，从而实现了对边缘和不规则区域的更好覆盖</w:t>
      </w:r>
      <w:r>
        <w:rPr>
          <w:spacing w:val="-2"/>
          <w:w w:val="110"/>
        </w:rPr>
        <w:t>。</w:t>
      </w:r>
      <w:r>
        <w:rPr>
          <w:w w:val="110"/>
        </w:rPr>
        <w:t>尽管取得了这些进展，但大多数方法在应对结构复杂性、局部可行性以及在不同</w:t>
      </w:r>
      <w:r>
        <w:rPr>
          <w:spacing w:val="-2"/>
          <w:w w:val="110"/>
        </w:rPr>
        <w:t>约束条件下的</w:t>
      </w:r>
      <w:r>
        <w:rPr>
          <w:w w:val="110"/>
        </w:rPr>
        <w:t>鲁棒性方面仍面临挑战</w:t>
      </w:r>
      <w:r>
        <w:rPr>
          <w:spacing w:val="-2"/>
          <w:w w:val="110"/>
        </w:rPr>
        <w:t>。</w:t>
      </w:r>
    </w:p>
    <w:p w:rsidR="003C675B" w:rsidRDefault="003C675B" w:rsidP="00FA4C95">
      <w:pPr>
        <w:ind w:firstLine="525"/>
      </w:pPr>
      <w:r>
        <w:rPr>
          <w:w w:val="110"/>
        </w:rPr>
        <w:t>在精细规划中，多目标优化策略被广泛应用于平衡覆盖完整性、冗余度和视点质量。相关方法包括：</w:t>
      </w:r>
      <w:r>
        <w:rPr>
          <w:w w:val="110"/>
        </w:rPr>
        <w:t xml:space="preserve">(1) </w:t>
      </w:r>
      <w:r>
        <w:rPr>
          <w:w w:val="110"/>
        </w:rPr>
        <w:t>启发式算法，例如贪婪集覆盖策略</w:t>
      </w:r>
      <w:hyperlink w:anchor="_bookmark55" w:history="1">
        <w:r>
          <w:rPr>
            <w:color w:val="2196D1"/>
            <w:w w:val="110"/>
          </w:rPr>
          <w:t>[19,24]</w:t>
        </w:r>
      </w:hyperlink>
      <w:r>
        <w:rPr>
          <w:w w:val="110"/>
        </w:rPr>
        <w:t>，该方法收敛迅速，但由于依赖局部信息，存在得到次优解的风险；</w:t>
      </w:r>
      <w:r>
        <w:rPr>
          <w:w w:val="110"/>
        </w:rPr>
        <w:t xml:space="preserve"> (2) </w:t>
      </w:r>
      <w:r>
        <w:rPr>
          <w:w w:val="110"/>
        </w:rPr>
        <w:t>进化算法，例如遗传算法</w:t>
      </w:r>
      <w:r>
        <w:rPr>
          <w:w w:val="110"/>
        </w:rPr>
        <w:t xml:space="preserve"> </w:t>
      </w:r>
      <w:hyperlink w:anchor="_bookmark56" w:history="1">
        <w:r>
          <w:rPr>
            <w:color w:val="2196D1"/>
            <w:w w:val="110"/>
          </w:rPr>
          <w:t>[20,25]</w:t>
        </w:r>
      </w:hyperlink>
      <w:r>
        <w:rPr>
          <w:w w:val="110"/>
        </w:rPr>
        <w:t>、多目标进化策略</w:t>
      </w:r>
      <w:r>
        <w:rPr>
          <w:w w:val="110"/>
        </w:rPr>
        <w:t xml:space="preserve"> </w:t>
      </w:r>
      <w:hyperlink w:anchor="_bookmark60" w:history="1">
        <w:r>
          <w:rPr>
            <w:color w:val="2196D1"/>
            <w:w w:val="110"/>
          </w:rPr>
          <w:t>[26]</w:t>
        </w:r>
      </w:hyperlink>
      <w:r>
        <w:rPr>
          <w:w w:val="110"/>
        </w:rPr>
        <w:t xml:space="preserve"> </w:t>
      </w:r>
      <w:r>
        <w:rPr>
          <w:w w:val="110"/>
        </w:rPr>
        <w:t>以及改进的粒子群优化（</w:t>
      </w:r>
      <w:r>
        <w:rPr>
          <w:w w:val="110"/>
        </w:rPr>
        <w:t>PSO</w:t>
      </w:r>
      <w:r>
        <w:rPr>
          <w:w w:val="110"/>
        </w:rPr>
        <w:t>），这些算法具备全局搜索能力，但计算成本高且对参数敏感；以及</w:t>
      </w:r>
      <w:r>
        <w:rPr>
          <w:w w:val="110"/>
        </w:rPr>
        <w:t xml:space="preserve"> (3) </w:t>
      </w:r>
      <w:r>
        <w:rPr>
          <w:w w:val="110"/>
        </w:rPr>
        <w:t>基于</w:t>
      </w:r>
      <w:r>
        <w:rPr>
          <w:w w:val="110"/>
        </w:rPr>
        <w:t xml:space="preserve"> TSP </w:t>
      </w:r>
      <w:r>
        <w:rPr>
          <w:w w:val="110"/>
        </w:rPr>
        <w:t>的路径规划智能优化方法，包括蚁群优化（</w:t>
      </w:r>
      <w:r>
        <w:rPr>
          <w:w w:val="110"/>
        </w:rPr>
        <w:t>ACO</w:t>
      </w:r>
      <w:r>
        <w:rPr>
          <w:w w:val="110"/>
        </w:rPr>
        <w:t>）</w:t>
      </w:r>
      <w:hyperlink w:anchor="_bookmark61" w:history="1">
        <w:r>
          <w:rPr>
            <w:color w:val="2196D1"/>
            <w:w w:val="110"/>
          </w:rPr>
          <w:t>[27]</w:t>
        </w:r>
      </w:hyperlink>
      <w:r>
        <w:rPr>
          <w:w w:val="110"/>
        </w:rPr>
        <w:t>、</w:t>
      </w:r>
      <w:r>
        <w:rPr>
          <w:w w:val="110"/>
        </w:rPr>
        <w:t xml:space="preserve"> </w:t>
      </w:r>
      <w:r>
        <w:rPr>
          <w:w w:val="110"/>
        </w:rPr>
        <w:t>遗传算法（</w:t>
      </w:r>
      <w:r>
        <w:rPr>
          <w:w w:val="110"/>
        </w:rPr>
        <w:t>GA</w:t>
      </w:r>
      <w:r>
        <w:rPr>
          <w:w w:val="110"/>
        </w:rPr>
        <w:t>）</w:t>
      </w:r>
      <w:hyperlink w:anchor="_bookmark62" w:history="1">
        <w:r>
          <w:rPr>
            <w:color w:val="2196D1"/>
            <w:w w:val="110"/>
          </w:rPr>
          <w:t>[28]</w:t>
        </w:r>
      </w:hyperlink>
      <w:r>
        <w:rPr>
          <w:w w:val="110"/>
        </w:rPr>
        <w:t>以及粒子群优化（</w:t>
      </w:r>
      <w:r>
        <w:rPr>
          <w:w w:val="110"/>
        </w:rPr>
        <w:t>PSO</w:t>
      </w:r>
      <w:r>
        <w:rPr>
          <w:w w:val="110"/>
        </w:rPr>
        <w:t>）</w:t>
      </w:r>
      <w:hyperlink w:anchor="_bookmark47" w:history="1">
        <w:r>
          <w:rPr>
            <w:color w:val="2196D1"/>
            <w:w w:val="110"/>
          </w:rPr>
          <w:t>[10,29,30]</w:t>
        </w:r>
      </w:hyperlink>
      <w:r>
        <w:rPr>
          <w:w w:val="110"/>
        </w:rPr>
        <w:t>，它们</w:t>
      </w:r>
      <w:r>
        <w:rPr>
          <w:spacing w:val="-2"/>
          <w:w w:val="110"/>
        </w:rPr>
        <w:t>在搜索效率与解的质量之间</w:t>
      </w:r>
      <w:r>
        <w:rPr>
          <w:w w:val="110"/>
        </w:rPr>
        <w:t>各具不同的</w:t>
      </w:r>
      <w:r>
        <w:rPr>
          <w:spacing w:val="-2"/>
          <w:w w:val="110"/>
        </w:rPr>
        <w:t>权衡关系。近年来，</w:t>
      </w:r>
      <w:r>
        <w:rPr>
          <w:w w:val="110"/>
        </w:rPr>
        <w:t>强化学习（</w:t>
      </w:r>
      <w:r>
        <w:rPr>
          <w:w w:val="110"/>
        </w:rPr>
        <w:t>RL</w:t>
      </w:r>
      <w:r>
        <w:rPr>
          <w:w w:val="110"/>
        </w:rPr>
        <w:t>）作为一种极具前景的方法崭露头角，它能够通过平衡覆盖增益、路径成本和可行性约束来实现长期优化</w:t>
      </w:r>
      <w:hyperlink w:anchor="_bookmark63" w:history="1">
        <w:r>
          <w:rPr>
            <w:color w:val="2196D1"/>
            <w:w w:val="110"/>
          </w:rPr>
          <w:t>[31]</w:t>
        </w:r>
      </w:hyperlink>
      <w:r>
        <w:rPr>
          <w:w w:val="110"/>
        </w:rPr>
        <w:t>。</w:t>
      </w:r>
      <w:r>
        <w:rPr>
          <w:w w:val="110"/>
        </w:rPr>
        <w:t xml:space="preserve"> </w:t>
      </w:r>
      <w:r>
        <w:rPr>
          <w:w w:val="110"/>
        </w:rPr>
        <w:t>在视点规划中，强化学习基于历史覆盖状态自适应地选择高价值视点</w:t>
      </w:r>
      <w:r>
        <w:rPr>
          <w:w w:val="110"/>
        </w:rPr>
        <w:t xml:space="preserve"> </w:t>
      </w:r>
      <w:hyperlink w:anchor="_bookmark44" w:history="1">
        <w:r>
          <w:rPr>
            <w:color w:val="2196D1"/>
            <w:w w:val="110"/>
          </w:rPr>
          <w:t>[5,22]</w:t>
        </w:r>
      </w:hyperlink>
      <w:r>
        <w:rPr>
          <w:w w:val="110"/>
        </w:rPr>
        <w:t>；在路径规划中，强化学习通过环境反馈学习最优检查序列</w:t>
      </w:r>
      <w:r>
        <w:rPr>
          <w:w w:val="110"/>
        </w:rPr>
        <w:t xml:space="preserve"> </w:t>
      </w:r>
      <w:hyperlink w:anchor="_bookmark64" w:history="1">
        <w:r>
          <w:rPr>
            <w:color w:val="2196D1"/>
            <w:w w:val="110"/>
          </w:rPr>
          <w:t>[32]</w:t>
        </w:r>
      </w:hyperlink>
      <w:r>
        <w:rPr>
          <w:w w:val="110"/>
        </w:rPr>
        <w:t>，从而克服了传统方法在动态场景下泛化能力有限的局限。此类方法对于任务驱动型和反馈耦合型检查问题尤为有效。</w:t>
      </w:r>
    </w:p>
    <w:p w:rsidR="003C675B" w:rsidRDefault="003C675B" w:rsidP="00FA4C95">
      <w:pPr>
        <w:ind w:firstLine="525"/>
      </w:pPr>
      <w:r>
        <w:rPr>
          <w:w w:val="110"/>
        </w:rPr>
        <w:t>当待检测模型未知时，通常采用基于探索</w:t>
      </w:r>
      <w:r>
        <w:rPr>
          <w:spacing w:val="-2"/>
          <w:w w:val="110"/>
        </w:rPr>
        <w:t>的方法</w:t>
      </w:r>
      <w:r>
        <w:rPr>
          <w:w w:val="110"/>
        </w:rPr>
        <w:t>。这些方法能在扫描过程中动态更新决策，因此适用于未知或复杂的结构。典型方法包括</w:t>
      </w:r>
      <w:r>
        <w:rPr>
          <w:w w:val="110"/>
        </w:rPr>
        <w:t>“</w:t>
      </w:r>
      <w:r>
        <w:rPr>
          <w:w w:val="110"/>
        </w:rPr>
        <w:t>次优视图</w:t>
      </w:r>
      <w:r>
        <w:rPr>
          <w:w w:val="110"/>
        </w:rPr>
        <w:t>”</w:t>
      </w:r>
      <w:r>
        <w:rPr>
          <w:w w:val="110"/>
        </w:rPr>
        <w:t>（</w:t>
      </w:r>
      <w:r>
        <w:rPr>
          <w:w w:val="110"/>
        </w:rPr>
        <w:t>Next-Best-View</w:t>
      </w:r>
      <w:r>
        <w:rPr>
          <w:w w:val="110"/>
        </w:rPr>
        <w:t>，</w:t>
      </w:r>
      <w:r>
        <w:rPr>
          <w:w w:val="110"/>
        </w:rPr>
        <w:t>NBV</w:t>
      </w:r>
      <w:r>
        <w:rPr>
          <w:w w:val="110"/>
        </w:rPr>
        <w:t>）策略</w:t>
      </w:r>
      <w:hyperlink w:anchor="_bookmark65" w:history="1">
        <w:r>
          <w:rPr>
            <w:color w:val="2196D1"/>
            <w:w w:val="110"/>
          </w:rPr>
          <w:t>[33,34]</w:t>
        </w:r>
      </w:hyperlink>
      <w:r>
        <w:rPr>
          <w:w w:val="110"/>
        </w:rPr>
        <w:t>，该策略基于增量建模和实时反馈，迭代选择视点。</w:t>
      </w:r>
      <w:r>
        <w:rPr>
          <w:w w:val="110"/>
        </w:rPr>
        <w:t xml:space="preserve"> </w:t>
      </w:r>
      <w:r>
        <w:rPr>
          <w:w w:val="110"/>
        </w:rPr>
        <w:t>部分研究进一步整合了强化学习（</w:t>
      </w:r>
      <w:r>
        <w:rPr>
          <w:w w:val="110"/>
        </w:rPr>
        <w:t>RL</w:t>
      </w:r>
      <w:r>
        <w:rPr>
          <w:w w:val="110"/>
        </w:rPr>
        <w:t>）</w:t>
      </w:r>
      <w:hyperlink w:anchor="_bookmark66" w:history="1">
        <w:r>
          <w:rPr>
            <w:color w:val="2196D1"/>
            <w:w w:val="110"/>
          </w:rPr>
          <w:t>[35]</w:t>
        </w:r>
      </w:hyperlink>
      <w:r>
        <w:rPr>
          <w:w w:val="110"/>
        </w:rPr>
        <w:t>，以提高对遮挡和点云不确定性的适应能力。与本研究侧重于基于</w:t>
      </w:r>
      <w:r>
        <w:rPr>
          <w:w w:val="110"/>
        </w:rPr>
        <w:t>CAD</w:t>
      </w:r>
      <w:r>
        <w:rPr>
          <w:w w:val="110"/>
        </w:rPr>
        <w:t>先验信息的离线优化不同，这些方法强调在线重建和动态感知。</w:t>
      </w:r>
    </w:p>
    <w:p w:rsidR="00F3509C" w:rsidRDefault="003C675B" w:rsidP="00FA4C95">
      <w:pPr>
        <w:ind w:firstLine="525"/>
        <w:rPr>
          <w:w w:val="110"/>
        </w:rPr>
      </w:pPr>
      <w:r>
        <w:rPr>
          <w:w w:val="110"/>
        </w:rPr>
        <w:t>综上所述，</w:t>
      </w:r>
      <w:r>
        <w:rPr>
          <w:w w:val="110"/>
        </w:rPr>
        <w:t xml:space="preserve">CPP </w:t>
      </w:r>
      <w:r>
        <w:rPr>
          <w:w w:val="110"/>
        </w:rPr>
        <w:t>已从早期的几何覆盖策略演进为兼顾可行性与智能规划的方法，形成了生成与优化相结合的两阶段通用范式。然而，现有研究大多忽视了对易缺陷区域的优先处理，以及覆盖范围与路径可行性之间的动态平衡</w:t>
      </w:r>
      <w:r>
        <w:rPr>
          <w:w w:val="110"/>
        </w:rPr>
        <w:t>——</w:t>
      </w:r>
      <w:r>
        <w:rPr>
          <w:w w:val="110"/>
        </w:rPr>
        <w:t>而本文旨在解决这些问题。</w:t>
      </w:r>
    </w:p>
    <w:p w:rsidR="003C675B" w:rsidRPr="00F3509C" w:rsidRDefault="00887B6D" w:rsidP="00FA4C95">
      <w:pPr>
        <w:pStyle w:val="1"/>
      </w:pPr>
      <w:r>
        <w:t>3.</w:t>
      </w:r>
      <w:r w:rsidR="003C675B" w:rsidRPr="00887B6D">
        <w:t xml:space="preserve">HYPERLINK “SPS:id::Sec2” HYPERLINK “SPS:id::Sec2” </w:t>
      </w:r>
      <w:r w:rsidR="003C675B" w:rsidRPr="00887B6D">
        <w:rPr>
          <w:rFonts w:ascii="微软雅黑" w:eastAsia="微软雅黑" w:hAnsi="微软雅黑" w:cs="微软雅黑" w:hint="eastAsia"/>
        </w:rPr>
        <w:t>研究方法</w:t>
      </w:r>
    </w:p>
    <w:p w:rsidR="003C675B" w:rsidRDefault="003C675B" w:rsidP="00FA4C95">
      <w:pPr>
        <w:ind w:firstLine="525"/>
      </w:pPr>
      <w:r>
        <w:rPr>
          <w:w w:val="110"/>
        </w:rPr>
        <w:t>所提出的框架遵循一个两阶段流程，即粗</w:t>
      </w:r>
      <w:r>
        <w:t>规划和细规划，如算法</w:t>
      </w:r>
      <w:r>
        <w:t>1</w:t>
      </w:r>
      <w:r>
        <w:t>所总结。</w:t>
      </w:r>
      <w:r>
        <w:rPr>
          <w:w w:val="110"/>
        </w:rPr>
        <w:t>首先通过重新网格化、保留可观测曲面以及叶片索引</w:t>
      </w:r>
      <w:r>
        <w:t>对</w:t>
      </w:r>
      <w:r>
        <w:t>CAD</w:t>
      </w:r>
      <w:r>
        <w:t>网格进行</w:t>
      </w:r>
      <w:r>
        <w:rPr>
          <w:w w:val="110"/>
        </w:rPr>
        <w:t>标准化处理，以便为所有比较提供统一的几何输入（</w:t>
      </w:r>
      <w:hyperlink w:anchor="_bookmark5" w:history="1">
        <w:r>
          <w:rPr>
            <w:color w:val="2196D1"/>
            <w:w w:val="110"/>
          </w:rPr>
          <w:t>第</w:t>
        </w:r>
        <w:r>
          <w:rPr>
            <w:color w:val="2196D1"/>
            <w:w w:val="110"/>
          </w:rPr>
          <w:t>3.2</w:t>
        </w:r>
        <w:r>
          <w:rPr>
            <w:color w:val="2196D1"/>
            <w:w w:val="110"/>
          </w:rPr>
          <w:t>节</w:t>
        </w:r>
      </w:hyperlink>
      <w:r>
        <w:rPr>
          <w:w w:val="110"/>
        </w:rPr>
        <w:t>）。</w:t>
      </w:r>
      <w:r>
        <w:rPr>
          <w:spacing w:val="-1"/>
          <w:w w:val="110"/>
        </w:rPr>
        <w:t xml:space="preserve"> </w:t>
      </w:r>
      <w:r>
        <w:rPr>
          <w:w w:val="110"/>
        </w:rPr>
        <w:t>在粗规划阶段，基于片段质心和法线构建候选视点，并</w:t>
      </w:r>
      <w:r>
        <w:t>采用</w:t>
      </w:r>
      <w:r>
        <w:rPr>
          <w:w w:val="110"/>
        </w:rPr>
        <w:t>风险驱动的采样</w:t>
      </w:r>
      <w:r>
        <w:rPr>
          <w:spacing w:val="-2"/>
          <w:w w:val="110"/>
        </w:rPr>
        <w:t>策略</w:t>
      </w:r>
      <w:r>
        <w:t>将候选视点偏向缺陷敏感区域，随后进行可行性</w:t>
      </w:r>
      <w:r>
        <w:rPr>
          <w:w w:val="110"/>
        </w:rPr>
        <w:t>筛选和扰动精化以提高候选视点的完整性（</w:t>
      </w:r>
      <w:hyperlink w:anchor="_bookmark7" w:history="1">
        <w:r>
          <w:rPr>
            <w:color w:val="2196D1"/>
            <w:w w:val="110"/>
          </w:rPr>
          <w:t>第</w:t>
        </w:r>
        <w:r>
          <w:rPr>
            <w:color w:val="2196D1"/>
            <w:w w:val="110"/>
          </w:rPr>
          <w:t>3.3</w:t>
        </w:r>
        <w:r>
          <w:rPr>
            <w:color w:val="2196D1"/>
            <w:w w:val="110"/>
          </w:rPr>
          <w:t>节</w:t>
        </w:r>
      </w:hyperlink>
      <w:r>
        <w:rPr>
          <w:w w:val="110"/>
        </w:rPr>
        <w:t>）。细规划将视点选择建模为马尔可夫决策过程，其状态编码了全局覆盖进度和局部增量线索（第</w:t>
      </w:r>
      <w:r>
        <w:rPr>
          <w:w w:val="110"/>
        </w:rPr>
        <w:t>3.4</w:t>
      </w:r>
      <w:r>
        <w:rPr>
          <w:w w:val="110"/>
        </w:rPr>
        <w:t>节）。</w:t>
      </w:r>
      <w:r>
        <w:rPr>
          <w:w w:val="110"/>
        </w:rPr>
        <w:t xml:space="preserve"> </w:t>
      </w:r>
      <w:r>
        <w:rPr>
          <w:w w:val="110"/>
        </w:rPr>
        <w:t>策略学习由一种奖励引导，该奖励综合考虑了覆盖增益、风险感知分布和运动成本，这构成了将缺陷敏感优先级与检测效率相结合的核心机制。随后，采用基于</w:t>
      </w:r>
      <w:r>
        <w:rPr>
          <w:w w:val="110"/>
        </w:rPr>
        <w:t>PPO</w:t>
      </w:r>
      <w:r>
        <w:rPr>
          <w:w w:val="110"/>
        </w:rPr>
        <w:t>的优化器来学习扫描策略，并在运动学可行性</w:t>
      </w:r>
      <w:r>
        <w:rPr>
          <w:spacing w:val="-2"/>
          <w:w w:val="110"/>
        </w:rPr>
        <w:lastRenderedPageBreak/>
        <w:t>约束</w:t>
      </w:r>
      <w:r>
        <w:rPr>
          <w:w w:val="110"/>
        </w:rPr>
        <w:t>下输出最终的视点序列</w:t>
      </w:r>
      <w:r>
        <w:rPr>
          <w:spacing w:val="-2"/>
          <w:w w:val="110"/>
        </w:rPr>
        <w:t>。</w:t>
      </w:r>
    </w:p>
    <w:p w:rsidR="00F3509C" w:rsidRDefault="006D55F4" w:rsidP="00FA4C95">
      <w:pPr>
        <w:ind w:firstLine="525"/>
        <w:rPr>
          <w:rStyle w:val="20"/>
        </w:rPr>
      </w:pPr>
      <w:r w:rsidRPr="006D55F4">
        <w:rPr>
          <w:noProof/>
          <w:w w:val="110"/>
          <w:lang w:eastAsia="en-US"/>
        </w:rPr>
        <w:drawing>
          <wp:inline distT="0" distB="0" distL="0" distR="0" wp14:anchorId="2E4641B9" wp14:editId="65337B89">
            <wp:extent cx="5274310" cy="59486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948680"/>
                    </a:xfrm>
                    <a:prstGeom prst="rect">
                      <a:avLst/>
                    </a:prstGeom>
                  </pic:spPr>
                </pic:pic>
              </a:graphicData>
            </a:graphic>
          </wp:inline>
        </w:drawing>
      </w:r>
    </w:p>
    <w:p w:rsidR="006D55F4" w:rsidRPr="006D55F4" w:rsidRDefault="006D55F4" w:rsidP="00FA4C95">
      <w:pPr>
        <w:pStyle w:val="2"/>
        <w:spacing w:after="156"/>
        <w:ind w:firstLine="560"/>
        <w:rPr>
          <w:rFonts w:cs="Times New Roman"/>
          <w:w w:val="110"/>
          <w:kern w:val="0"/>
          <w:szCs w:val="16"/>
        </w:rPr>
      </w:pPr>
      <w:r w:rsidRPr="00F3509C">
        <w:rPr>
          <w:rStyle w:val="20"/>
        </w:rPr>
        <w:t xml:space="preserve">3.1 </w:t>
      </w:r>
      <w:r w:rsidRPr="00F3509C">
        <w:rPr>
          <w:rStyle w:val="20"/>
        </w:rPr>
        <w:t>检测对象建模</w:t>
      </w:r>
    </w:p>
    <w:p w:rsidR="006D55F4" w:rsidRDefault="006D55F4" w:rsidP="00FA4C95">
      <w:pPr>
        <w:ind w:firstLine="525"/>
      </w:pPr>
      <w:r>
        <w:rPr>
          <w:w w:val="110"/>
        </w:rPr>
        <w:t>航空发动机叶片在尺寸、曲率和边界特征方面存在显著差异，导致其整体几何形状极为复杂。</w:t>
      </w:r>
      <w:r>
        <w:rPr>
          <w:w w:val="110"/>
        </w:rPr>
        <w:t xml:space="preserve"> </w:t>
      </w:r>
      <w:r>
        <w:rPr>
          <w:w w:val="110"/>
        </w:rPr>
        <w:t>为了提高所提方法对不同配置的适应性，构建了一个多配置叶盘</w:t>
      </w:r>
      <w:r>
        <w:rPr>
          <w:w w:val="110"/>
        </w:rPr>
        <w:t>-</w:t>
      </w:r>
      <w:r>
        <w:rPr>
          <w:w w:val="110"/>
        </w:rPr>
        <w:t>叶片一体件（</w:t>
      </w:r>
      <w:r>
        <w:rPr>
          <w:w w:val="110"/>
        </w:rPr>
        <w:t>blisk</w:t>
      </w:r>
      <w:r>
        <w:rPr>
          <w:w w:val="110"/>
        </w:rPr>
        <w:t>）模型</w:t>
      </w:r>
      <w:hyperlink w:anchor="_bookmark4" w:history="1">
        <w:r>
          <w:rPr>
            <w:color w:val="2196D1"/>
            <w:w w:val="110"/>
          </w:rPr>
          <w:t>，如图</w:t>
        </w:r>
        <w:r>
          <w:rPr>
            <w:color w:val="2196D1"/>
            <w:w w:val="110"/>
          </w:rPr>
          <w:t>1</w:t>
        </w:r>
        <w:r>
          <w:rPr>
            <w:color w:val="2196D1"/>
            <w:w w:val="110"/>
          </w:rPr>
          <w:t>所示</w:t>
        </w:r>
      </w:hyperlink>
      <w:r>
        <w:rPr>
          <w:w w:val="110"/>
        </w:rPr>
        <w:t>。该模型将尺寸、曲率和边缘特征存在显著差异的叶片整合为单一几何结构，从而捕捉具有代表性的复杂结构，并为后续方法的开发和验证提供多样化的样本。需要强调的是，本研究的检测仅限于叶片表面易受损伤的区域</w:t>
      </w:r>
      <w:r>
        <w:rPr>
          <w:w w:val="110"/>
        </w:rPr>
        <w:t xml:space="preserve"> </w:t>
      </w:r>
      <w:r>
        <w:rPr>
          <w:w w:val="110"/>
        </w:rPr>
        <w:t>，而叶盘和叶根部分则被排除在外。</w:t>
      </w:r>
    </w:p>
    <w:p w:rsidR="006D55F4" w:rsidRDefault="006D55F4" w:rsidP="00FA4C95">
      <w:pPr>
        <w:ind w:firstLine="525"/>
        <w:rPr>
          <w:w w:val="110"/>
        </w:rPr>
      </w:pPr>
      <w:r>
        <w:rPr>
          <w:w w:val="110"/>
        </w:rPr>
        <w:lastRenderedPageBreak/>
        <w:t>在三维检测任务中，视点构建方法直接影响最终的覆盖效率和资源利用率。现有研究通常将候选视点生成策略分为三类：空间采样、顶点采样和片段采样</w:t>
      </w:r>
      <w:r>
        <w:rPr>
          <w:w w:val="110"/>
        </w:rPr>
        <w:t xml:space="preserve"> </w:t>
      </w:r>
      <w:hyperlink w:anchor="_bookmark50" w:history="1">
        <w:r>
          <w:rPr>
            <w:color w:val="2196D1"/>
            <w:w w:val="110"/>
          </w:rPr>
          <w:t>[14]</w:t>
        </w:r>
      </w:hyperlink>
      <w:r>
        <w:rPr>
          <w:w w:val="110"/>
        </w:rPr>
        <w:t>。</w:t>
      </w:r>
      <w:r>
        <w:rPr>
          <w:w w:val="110"/>
        </w:rPr>
        <w:t xml:space="preserve"> </w:t>
      </w:r>
      <w:r>
        <w:rPr>
          <w:w w:val="110"/>
        </w:rPr>
        <w:t>空间采样虽与模型无关，但效率往往较低且易产生冗余。顶点采样在中等分辨率下表现良好，但对顶点分布较为敏感。片采样通过基于片中心点和法线构建视点，既保留了几何语义，又允许在复杂区域灵活调整密度，因此更适合本研究中涉及的复杂表面内检任务。</w:t>
      </w:r>
    </w:p>
    <w:p w:rsidR="006D55F4" w:rsidRDefault="00FA4C95" w:rsidP="00FA4C95">
      <w:pPr>
        <w:pStyle w:val="afb"/>
        <w:rPr>
          <w:w w:val="110"/>
        </w:rPr>
      </w:pPr>
      <w:r w:rsidRPr="00FA4C95">
        <w:rPr>
          <w:noProof/>
        </w:rPr>
        <w:drawing>
          <wp:inline distT="0" distB="0" distL="0" distR="0" wp14:anchorId="25CBD555" wp14:editId="17C3E30A">
            <wp:extent cx="5041351" cy="477926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041351" cy="4779264"/>
                    </a:xfrm>
                    <a:prstGeom prst="rect">
                      <a:avLst/>
                    </a:prstGeom>
                  </pic:spPr>
                </pic:pic>
              </a:graphicData>
            </a:graphic>
          </wp:inline>
        </w:drawing>
      </w:r>
    </w:p>
    <w:p w:rsidR="006D55F4" w:rsidRDefault="006D55F4" w:rsidP="00FA4C95">
      <w:pPr>
        <w:pStyle w:val="afb"/>
      </w:pPr>
      <w:r>
        <w:rPr>
          <w:b/>
          <w:w w:val="110"/>
        </w:rPr>
        <w:t>图</w:t>
      </w:r>
      <w:r>
        <w:rPr>
          <w:b/>
          <w:w w:val="110"/>
        </w:rPr>
        <w:t xml:space="preserve"> 1.</w:t>
      </w:r>
      <w:r>
        <w:rPr>
          <w:w w:val="110"/>
        </w:rPr>
        <w:t xml:space="preserve"> </w:t>
      </w:r>
      <w:r>
        <w:rPr>
          <w:w w:val="110"/>
        </w:rPr>
        <w:t>自研多配置</w:t>
      </w:r>
      <w:r>
        <w:rPr>
          <w:spacing w:val="-2"/>
          <w:w w:val="110"/>
        </w:rPr>
        <w:t>叶盘。</w:t>
      </w:r>
    </w:p>
    <w:p w:rsidR="006D55F4" w:rsidRDefault="006D55F4" w:rsidP="00FA4C95">
      <w:pPr>
        <w:pStyle w:val="2"/>
        <w:spacing w:after="156"/>
        <w:ind w:firstLine="562"/>
        <w:rPr>
          <w:sz w:val="13"/>
        </w:rPr>
      </w:pPr>
      <w:r>
        <w:t>3.2. HYPERLINK “SPS:id::</w:t>
      </w:r>
      <w:r>
        <w:rPr>
          <w:rFonts w:ascii="STIX" w:eastAsia="STIX" w:cs="STIX"/>
        </w:rPr>
        <w:t>Sec3</w:t>
      </w:r>
      <w:r>
        <w:rPr>
          <w:rFonts w:ascii="STIX" w:eastAsia="STIX" w:cs="STIX"/>
        </w:rPr>
        <w:t>”</w:t>
      </w:r>
      <w:r>
        <w:rPr>
          <w:rFonts w:ascii="STIX" w:eastAsia="STIX" w:cs="STIX"/>
        </w:rPr>
        <w:t xml:space="preserve"> </w:t>
      </w:r>
      <w:r>
        <w:t>HYPERLINK “SPS:id::</w:t>
      </w:r>
      <w:r>
        <w:rPr>
          <w:rFonts w:ascii="STIX" w:eastAsia="STIX" w:cs="STIX"/>
        </w:rPr>
        <w:t>Sec3</w:t>
      </w:r>
      <w:r>
        <w:rPr>
          <w:rFonts w:ascii="STIX" w:eastAsia="STIX" w:cs="STIX"/>
        </w:rPr>
        <w:t>”</w:t>
      </w:r>
      <w:r>
        <w:t xml:space="preserve"> </w:t>
      </w:r>
      <w:r>
        <w:t>网格预处理</w:t>
      </w:r>
    </w:p>
    <w:p w:rsidR="006D55F4" w:rsidRDefault="006D55F4" w:rsidP="00FA4C95">
      <w:r>
        <w:t>候选视点的质量在很大程度上取决于网格补丁的结构特性。如果网格分布不均匀或法线存在较大波动，可能会导致视点遗漏、姿态不稳定以及风险建模中的误判。为了确保几何稳定性和覆盖完整性，在生成视点之前会进行网格预处理。该过程包括三个步骤：重网格化、单表面提取和补丁聚类。</w:t>
      </w:r>
      <w:r>
        <w:t xml:space="preserve"> </w:t>
      </w:r>
    </w:p>
    <w:p w:rsidR="006D55F4" w:rsidRDefault="006D55F4" w:rsidP="00FA4C95">
      <w:r>
        <w:t xml:space="preserve">1) </w:t>
      </w:r>
      <w:r>
        <w:t>重新网格化</w:t>
      </w:r>
      <w:r>
        <w:t xml:space="preserve"> </w:t>
      </w:r>
    </w:p>
    <w:p w:rsidR="006D55F4" w:rsidRDefault="006D55F4" w:rsidP="00FA4C95">
      <w:r>
        <w:t>在基于网格片的视点构建中，稳定的候选视点需要网格片分布均匀且法线变化一致。因此，</w:t>
      </w:r>
      <w:r>
        <w:lastRenderedPageBreak/>
        <w:t>我们采用可逆双阶段重网格化（</w:t>
      </w:r>
      <w:r>
        <w:t>RDSR</w:t>
      </w:r>
      <w:r>
        <w:t>）算法，在保留锐利和边界特征的同时，改善全局边长的一致性。重网格化的目标函数为：</w:t>
      </w:r>
      <w:r>
        <w:t xml:space="preserve"> </w:t>
      </w:r>
    </w:p>
    <w:p w:rsidR="006D55F4" w:rsidRDefault="006D55F4" w:rsidP="008330F3">
      <w:pPr>
        <w:pStyle w:val="afb"/>
      </w:pPr>
      <w:r w:rsidRPr="006D55F4">
        <w:rPr>
          <w:noProof/>
        </w:rPr>
        <w:drawing>
          <wp:inline distT="0" distB="0" distL="0" distR="0" wp14:anchorId="258D442D" wp14:editId="7F63E038">
            <wp:extent cx="1719618" cy="32724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0775" cy="335073"/>
                    </a:xfrm>
                    <a:prstGeom prst="rect">
                      <a:avLst/>
                    </a:prstGeom>
                  </pic:spPr>
                </pic:pic>
              </a:graphicData>
            </a:graphic>
          </wp:inline>
        </w:drawing>
      </w:r>
    </w:p>
    <w:p w:rsidR="006D55F4" w:rsidRPr="006D55F4" w:rsidRDefault="006D55F4" w:rsidP="00FA4C95">
      <w:r>
        <w:t>其中</w:t>
      </w:r>
      <w:r>
        <w:t xml:space="preserve"> Jfree = </w:t>
      </w:r>
      <w:r>
        <w:rPr>
          <w:i/>
          <w:iCs/>
        </w:rPr>
        <w:t>J</w:t>
      </w:r>
      <w:r>
        <w:t xml:space="preserve">\Jc </w:t>
      </w:r>
      <w:r>
        <w:t>表示无约束边，</w:t>
      </w:r>
      <w:r>
        <w:rPr>
          <w:i/>
          <w:iCs/>
          <w:sz w:val="11"/>
          <w:szCs w:val="11"/>
        </w:rPr>
        <w:t>Jc</w:t>
      </w:r>
      <w:r>
        <w:t xml:space="preserve"> </w:t>
      </w:r>
      <w:r>
        <w:t>表示锐利边和边界边，</w:t>
      </w:r>
      <w:r>
        <w:t xml:space="preserve">Jlocal </w:t>
      </w:r>
      <w:r>
        <w:t>表示边界邻域内的边。</w:t>
      </w:r>
      <w:r>
        <w:rPr>
          <w:i/>
          <w:iCs/>
        </w:rPr>
        <w:t xml:space="preserve">lj </w:t>
      </w:r>
      <w:r>
        <w:t>和</w:t>
      </w:r>
      <w:r>
        <w:t xml:space="preserve"> ltarget </w:t>
      </w:r>
      <w:r>
        <w:t>分别是边</w:t>
      </w:r>
      <w:r>
        <w:t xml:space="preserve"> </w:t>
      </w:r>
      <w:r>
        <w:rPr>
          <w:i/>
          <w:iCs/>
        </w:rPr>
        <w:t>j</w:t>
      </w:r>
      <w:r>
        <w:t xml:space="preserve"> </w:t>
      </w:r>
      <w:r>
        <w:t>的当前长度与目标长度。第一项确保全局边长的一致性，第二项在不改变</w:t>
      </w:r>
      <w:r>
        <w:t xml:space="preserve"> </w:t>
      </w:r>
      <w:r>
        <w:rPr>
          <w:i/>
          <w:iCs/>
          <w:sz w:val="11"/>
          <w:szCs w:val="11"/>
        </w:rPr>
        <w:t>Jc</w:t>
      </w:r>
      <w:r>
        <w:t xml:space="preserve"> </w:t>
      </w:r>
      <w:r>
        <w:t>的前提下优化边界邻域</w:t>
      </w:r>
      <w:r w:rsidRPr="006D55F4">
        <w:t>，为后续视点生成</w:t>
      </w:r>
      <w:r>
        <w:t>提供</w:t>
      </w:r>
      <w:r w:rsidRPr="006D55F4">
        <w:t>更均匀、更可靠的几何输入。</w:t>
      </w:r>
    </w:p>
    <w:p w:rsidR="006D55F4" w:rsidRPr="006D55F4" w:rsidRDefault="006D55F4" w:rsidP="00FA4C95">
      <w:r w:rsidRPr="006D55F4">
        <w:t xml:space="preserve">2) </w:t>
      </w:r>
      <w:r w:rsidRPr="006D55F4">
        <w:t>单表面提取</w:t>
      </w:r>
    </w:p>
    <w:p w:rsidR="006D55F4" w:rsidRDefault="006D55F4" w:rsidP="00FA4C95">
      <w:r w:rsidRPr="006D55F4">
        <w:t>考虑到航空发动机叶片具有封闭的双面几何结构（压力面和吸力面），直接使用原始</w:t>
      </w:r>
      <w:r w:rsidRPr="006D55F4">
        <w:t>CAD</w:t>
      </w:r>
      <w:r w:rsidRPr="006D55F4">
        <w:t>网格可能会引入背表面干涉，从而导致</w:t>
      </w:r>
      <w:r w:rsidRPr="006D55F4">
        <w:t xml:space="preserve"> </w:t>
      </w:r>
      <w:r w:rsidRPr="006D55F4">
        <w:t>法线方向不确定以及视点规划冗余</w:t>
      </w:r>
      <w:r>
        <w:t>。</w:t>
      </w:r>
      <w:r w:rsidRPr="006D55F4">
        <w:t>如图</w:t>
      </w:r>
      <w:r w:rsidRPr="006D55F4">
        <w:t>2</w:t>
      </w:r>
      <w:r w:rsidRPr="006D55F4">
        <w:t>所示，因此我们进行了一种实用的单面</w:t>
      </w:r>
      <w:r>
        <w:t>预处理。</w:t>
      </w:r>
      <w:r>
        <w:t xml:space="preserve"> </w:t>
      </w:r>
      <w:r>
        <w:t>具体而言，首先在三维建模软件中通过可视化曲率梳来划定压力面</w:t>
      </w:r>
      <w:r>
        <w:t>/</w:t>
      </w:r>
      <w:r>
        <w:t>吸力面边界：将沿前缘和后缘的连续高曲率带视为稳定的几何分界线，并沿此脊线交互式地绘制边界曲线。</w:t>
      </w:r>
      <w:r>
        <w:t xml:space="preserve"> </w:t>
      </w:r>
      <w:r>
        <w:t>随后将网格导入网格处理软件，沿边界曲线对模型进行切割，以获得两个最大的连通表面组件。与传感器工作面一致的组件被保留为可观测表面，而另一侧则被移除以消除背面的干扰。</w:t>
      </w:r>
      <w:r>
        <w:t xml:space="preserve"> </w:t>
      </w:r>
      <w:r>
        <w:t>为保留缺陷敏感区域，还额外保留了边界周围固定宽度的窄边邻域。这种单表面表示法被用作后续所有风险建模、视点评估和策略比较的统一输入，</w:t>
      </w:r>
      <w:r w:rsidR="00B41EAF">
        <w:t>既</w:t>
      </w:r>
      <w:r>
        <w:t>确保了公平且一致的评估（</w:t>
      </w:r>
      <w:r w:rsidR="00B41EAF">
        <w:t>同时</w:t>
      </w:r>
      <w:r>
        <w:t>不影响所提策略的有效性），</w:t>
      </w:r>
      <w:r w:rsidR="00B41EAF">
        <w:t>又明确突出了该方法对边缘</w:t>
      </w:r>
      <w:r w:rsidR="00B41EAF">
        <w:t>/</w:t>
      </w:r>
      <w:r w:rsidR="00B41EAF">
        <w:t>侧面区域的重视。</w:t>
      </w:r>
    </w:p>
    <w:p w:rsidR="00B41EAF" w:rsidRDefault="00FA4C95" w:rsidP="00FA4C95">
      <w:pPr>
        <w:pStyle w:val="afb"/>
      </w:pPr>
      <w:r w:rsidRPr="00B41EAF">
        <w:rPr>
          <w:rFonts w:hint="eastAsia"/>
          <w:noProof/>
        </w:rPr>
        <w:drawing>
          <wp:inline distT="0" distB="0" distL="0" distR="0" wp14:anchorId="5083482C" wp14:editId="57748E95">
            <wp:extent cx="3930556" cy="2316207"/>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8175" cy="2320697"/>
                    </a:xfrm>
                    <a:prstGeom prst="rect">
                      <a:avLst/>
                    </a:prstGeom>
                    <a:noFill/>
                    <a:ln>
                      <a:noFill/>
                    </a:ln>
                  </pic:spPr>
                </pic:pic>
              </a:graphicData>
            </a:graphic>
          </wp:inline>
        </w:drawing>
      </w:r>
    </w:p>
    <w:p w:rsidR="00B41EAF" w:rsidRDefault="00B41EAF" w:rsidP="00FA4C95">
      <w:pPr>
        <w:pStyle w:val="afb"/>
      </w:pPr>
      <w:r>
        <w:t>图</w:t>
      </w:r>
      <w:r>
        <w:t xml:space="preserve"> 2. </w:t>
      </w:r>
      <w:r>
        <w:t>压力面和吸力面网格去除示意图</w:t>
      </w:r>
    </w:p>
    <w:p w:rsidR="00B41EAF" w:rsidRPr="00B41EAF" w:rsidRDefault="00B41EAF" w:rsidP="00FA4C95"/>
    <w:p w:rsidR="00B41EAF" w:rsidRDefault="00B41EAF" w:rsidP="00FA4C95">
      <w:r>
        <w:t xml:space="preserve">3) </w:t>
      </w:r>
      <w:r>
        <w:t>网格片聚类与叶片索引。</w:t>
      </w:r>
      <w:r>
        <w:t xml:space="preserve"> </w:t>
      </w:r>
    </w:p>
    <w:p w:rsidR="00B41EAF" w:rsidRDefault="00B41EAF" w:rsidP="00FA4C95">
      <w:pPr>
        <w:pStyle w:val="a7"/>
        <w:spacing w:after="156"/>
        <w:ind w:firstLine="525"/>
      </w:pPr>
      <w:r>
        <w:rPr>
          <w:w w:val="110"/>
        </w:rPr>
        <w:t>对于多叶片检测，精细规划阶段需要进行叶片级索引，以平衡各叶片间的视点分配并报告每片叶片的覆盖情况。因此，我们将网格分割为叶片组件，并分配一致的叶片索引</w:t>
      </w:r>
      <w:hyperlink w:anchor="_bookmark10" w:history="1">
        <w:r>
          <w:rPr>
            <w:color w:val="2196D1"/>
            <w:w w:val="110"/>
          </w:rPr>
          <w:t>。如图</w:t>
        </w:r>
        <w:r>
          <w:rPr>
            <w:color w:val="2196D1"/>
            <w:w w:val="110"/>
          </w:rPr>
          <w:t xml:space="preserve"> 3</w:t>
        </w:r>
      </w:hyperlink>
      <w:r>
        <w:rPr>
          <w:w w:val="110"/>
        </w:rPr>
        <w:t xml:space="preserve"> </w:t>
      </w:r>
      <w:r>
        <w:rPr>
          <w:w w:val="110"/>
        </w:rPr>
        <w:t>所示，基于三角补丁的拓扑连通性构建了一个邻接图：</w:t>
      </w:r>
    </w:p>
    <w:p w:rsidR="008330F3" w:rsidRPr="008330F3" w:rsidRDefault="008330F3" w:rsidP="008330F3">
      <w:pPr>
        <w:pStyle w:val="af0"/>
        <w:ind w:firstLine="480"/>
      </w:pPr>
      <w:r w:rsidRPr="008330F3">
        <w:lastRenderedPageBreak/>
        <w:drawing>
          <wp:inline distT="0" distB="0" distL="0" distR="0" wp14:anchorId="7E5DBA0B" wp14:editId="4E1035F6">
            <wp:extent cx="5007916" cy="344384"/>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5588" cy="346975"/>
                    </a:xfrm>
                    <a:prstGeom prst="rect">
                      <a:avLst/>
                    </a:prstGeom>
                  </pic:spPr>
                </pic:pic>
              </a:graphicData>
            </a:graphic>
          </wp:inline>
        </w:drawing>
      </w:r>
    </w:p>
    <w:p w:rsidR="00B41EAF" w:rsidRPr="00F3509C" w:rsidRDefault="00B41EAF" w:rsidP="00FA4C95">
      <w:r w:rsidRPr="00F3509C">
        <w:t>其中</w:t>
      </w:r>
      <w:r w:rsidRPr="00F3509C">
        <w:t xml:space="preserve"> F </w:t>
      </w:r>
      <w:r w:rsidRPr="00F3509C">
        <w:t>是网格片集合，</w:t>
      </w:r>
      <w:r w:rsidRPr="00F3509C">
        <w:t xml:space="preserve">E </w:t>
      </w:r>
      <w:r w:rsidRPr="00F3509C">
        <w:t>包含所有相邻的网格片对。</w:t>
      </w:r>
      <w:r w:rsidRPr="00F3509C">
        <w:t xml:space="preserve">G </w:t>
      </w:r>
      <w:r w:rsidRPr="00F3509C">
        <w:t>的连通分量产生子簇</w:t>
      </w:r>
      <w:r w:rsidRPr="00F3509C">
        <w:t xml:space="preserve"> C = B1, B2, …, BN</w:t>
      </w:r>
      <w:r w:rsidRPr="00F3509C">
        <w:t>，每个子簇对应一片叶片。</w:t>
      </w:r>
      <w:r w:rsidRPr="00F3509C">
        <w:t xml:space="preserve"> </w:t>
      </w:r>
      <w:r w:rsidRPr="00F3509C">
        <w:t>对于每个</w:t>
      </w:r>
      <w:r w:rsidRPr="00F3509C">
        <w:t xml:space="preserve"> Bk</w:t>
      </w:r>
      <w:r w:rsidRPr="00F3509C">
        <w:t>，通过计算其网格片质心的平均值来确定其平面中心，并将该中心投影到叶盘平面上以获得方位角。将这些角度按升序排序，即可在圆盘周围生成连续的叶片编号，从而为后续的视点分配和覆盖控制提供独立且有序的叶片单元。</w:t>
      </w:r>
    </w:p>
    <w:p w:rsidR="00E6531A" w:rsidRDefault="00FA4C95" w:rsidP="00FA4C95">
      <w:pPr>
        <w:pStyle w:val="afb"/>
      </w:pPr>
      <w:r>
        <w:rPr>
          <w:noProof/>
        </w:rPr>
        <w:drawing>
          <wp:inline distT="0" distB="0" distL="0" distR="0" wp14:anchorId="29C41D61" wp14:editId="63A7E6AE">
            <wp:extent cx="4331957" cy="176783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4331957" cy="1767839"/>
                    </a:xfrm>
                    <a:prstGeom prst="rect">
                      <a:avLst/>
                    </a:prstGeom>
                  </pic:spPr>
                </pic:pic>
              </a:graphicData>
            </a:graphic>
          </wp:inline>
        </w:drawing>
      </w:r>
    </w:p>
    <w:p w:rsidR="00E6531A" w:rsidRPr="00E6531A" w:rsidRDefault="00E6531A" w:rsidP="00FA4C95">
      <w:pPr>
        <w:pStyle w:val="afb"/>
      </w:pPr>
      <w:r>
        <w:rPr>
          <w:b/>
          <w:w w:val="115"/>
        </w:rPr>
        <w:t>图</w:t>
      </w:r>
      <w:r>
        <w:rPr>
          <w:b/>
          <w:w w:val="115"/>
        </w:rPr>
        <w:t xml:space="preserve"> 3.</w:t>
      </w:r>
      <w:r>
        <w:rPr>
          <w:w w:val="115"/>
        </w:rPr>
        <w:t xml:space="preserve"> </w:t>
      </w:r>
      <w:r>
        <w:rPr>
          <w:w w:val="115"/>
        </w:rPr>
        <w:t>叶片聚类与</w:t>
      </w:r>
      <w:r>
        <w:rPr>
          <w:spacing w:val="-2"/>
          <w:w w:val="115"/>
        </w:rPr>
        <w:t>编号。</w:t>
      </w:r>
    </w:p>
    <w:p w:rsidR="00B41EAF" w:rsidRPr="00E6531A" w:rsidRDefault="00B41EAF" w:rsidP="00FA4C95">
      <w:pPr>
        <w:pStyle w:val="2"/>
        <w:spacing w:after="156"/>
        <w:ind w:firstLine="562"/>
        <w:rPr>
          <w:spacing w:val="-2"/>
        </w:rPr>
      </w:pPr>
      <w:r>
        <w:t>3.3 HYPERLINK “SPS:id::</w:t>
      </w:r>
      <w:r>
        <w:rPr>
          <w:rFonts w:ascii="Arial" w:hAnsi="Arial"/>
        </w:rPr>
        <w:t xml:space="preserve">Sec4” </w:t>
      </w:r>
      <w:r>
        <w:t>HYPERLINK “SPS:id::</w:t>
      </w:r>
      <w:r>
        <w:rPr>
          <w:rFonts w:ascii="Arial" w:hAnsi="Arial"/>
        </w:rPr>
        <w:t>Sec4”</w:t>
      </w:r>
      <w:r>
        <w:rPr>
          <w:spacing w:val="-2"/>
        </w:rPr>
        <w:t xml:space="preserve"> </w:t>
      </w:r>
      <w:r>
        <w:rPr>
          <w:spacing w:val="-2"/>
        </w:rPr>
        <w:t>粗略</w:t>
      </w:r>
      <w:r>
        <w:t>视点</w:t>
      </w:r>
      <w:r>
        <w:rPr>
          <w:spacing w:val="-2"/>
        </w:rPr>
        <w:t>规划</w:t>
      </w:r>
    </w:p>
    <w:p w:rsidR="00B41EAF" w:rsidRPr="00F3509C" w:rsidRDefault="00B41EAF" w:rsidP="00FA4C95">
      <w:pPr>
        <w:ind w:firstLine="525"/>
      </w:pPr>
      <w:r>
        <w:rPr>
          <w:w w:val="110"/>
        </w:rPr>
        <w:t>本节介绍构建候选视点位置和</w:t>
      </w:r>
      <w:r>
        <w:rPr>
          <w:w w:val="110"/>
        </w:rPr>
        <w:t xml:space="preserve"> </w:t>
      </w:r>
      <w:r>
        <w:rPr>
          <w:w w:val="110"/>
        </w:rPr>
        <w:t>方向的方法、其空间分布策略，以及针对受遮挡影响的视点所采用的扰动过程。</w:t>
      </w:r>
    </w:p>
    <w:p w:rsidR="00E6531A" w:rsidRPr="00F3509C" w:rsidRDefault="00F3509C" w:rsidP="00FA4C95">
      <w:pPr>
        <w:pStyle w:val="3"/>
        <w:spacing w:after="156"/>
        <w:ind w:firstLine="482"/>
        <w:rPr>
          <w:rFonts w:ascii="Arial" w:hAnsi="Arial"/>
        </w:rPr>
      </w:pPr>
      <w:bookmarkStart w:id="0" w:name="3.3.1_HYPERLINK_“SPS:id::Sec5”_HYPERLINK"/>
      <w:bookmarkStart w:id="1" w:name="_bookmark8"/>
      <w:bookmarkEnd w:id="0"/>
      <w:bookmarkEnd w:id="1"/>
      <w:r>
        <w:t xml:space="preserve">3.3.1 </w:t>
      </w:r>
      <w:r w:rsidR="00B41EAF" w:rsidRPr="00E6531A">
        <w:t>HYPERLINK “SPS:id::</w:t>
      </w:r>
      <w:r w:rsidR="00B41EAF" w:rsidRPr="00E6531A">
        <w:rPr>
          <w:rFonts w:ascii="Arial" w:hAnsi="Arial"/>
        </w:rPr>
        <w:t xml:space="preserve">Sec5” </w:t>
      </w:r>
      <w:r w:rsidR="00B41EAF" w:rsidRPr="00E6531A">
        <w:t xml:space="preserve">HYPERLINK </w:t>
      </w:r>
      <w:r w:rsidR="00B41EAF" w:rsidRPr="00E6531A">
        <w:rPr>
          <w:spacing w:val="-2"/>
        </w:rPr>
        <w:t>“SPS:id::</w:t>
      </w:r>
      <w:r w:rsidR="00B41EAF" w:rsidRPr="00E6531A">
        <w:rPr>
          <w:rFonts w:ascii="Arial" w:hAnsi="Arial"/>
          <w:spacing w:val="-2"/>
        </w:rPr>
        <w:t>Sec5”</w:t>
      </w:r>
      <w:r w:rsidR="00B41EAF" w:rsidRPr="00E6531A">
        <w:t xml:space="preserve"> </w:t>
      </w:r>
      <w:r w:rsidR="00B41EAF" w:rsidRPr="00E6531A">
        <w:t>候选观点</w:t>
      </w:r>
      <w:r w:rsidR="00B41EAF" w:rsidRPr="00E6531A">
        <w:rPr>
          <w:spacing w:val="-2"/>
        </w:rPr>
        <w:t>构建</w:t>
      </w:r>
    </w:p>
    <w:p w:rsidR="00E6531A" w:rsidRDefault="00F3509C" w:rsidP="00FA4C95">
      <w:pPr>
        <w:ind w:firstLine="525"/>
      </w:pPr>
      <w:r>
        <w:rPr>
          <w:rFonts w:ascii="宋体" w:hAnsi="宋体" w:cs="宋体" w:hint="eastAsia"/>
          <w:w w:val="110"/>
        </w:rPr>
        <w:t>(</w:t>
      </w:r>
      <w:r>
        <w:rPr>
          <w:rFonts w:ascii="宋体" w:hAnsi="宋体" w:cs="宋体"/>
          <w:w w:val="110"/>
        </w:rPr>
        <w:t>1)</w:t>
      </w:r>
      <w:r w:rsidR="00B41EAF">
        <w:rPr>
          <w:w w:val="110"/>
        </w:rPr>
        <w:t>位置构建</w:t>
      </w:r>
    </w:p>
    <w:p w:rsidR="00E6531A" w:rsidRDefault="00E6531A" w:rsidP="00FA4C95">
      <w:r>
        <w:t>为确保候选视点既符合局部几何结构，又保持在标称景深范围内，采用质心</w:t>
      </w:r>
      <w:r>
        <w:t>-</w:t>
      </w:r>
      <w:r>
        <w:t>法线延伸策略。具体而言，首先根据三角形片段</w:t>
      </w:r>
      <w:r>
        <w:t xml:space="preserve"> T </w:t>
      </w:r>
      <w:r>
        <w:t>的顶点计算其质心</w:t>
      </w:r>
      <w:r>
        <w:t xml:space="preserve"> cj </w:t>
      </w:r>
      <w:r>
        <w:t>和单位法线</w:t>
      </w:r>
      <w:r>
        <w:t xml:space="preserve"> nj</w:t>
      </w:r>
      <w:r>
        <w:t>，随后将相机中心沿法线向外平移固定距离</w:t>
      </w:r>
      <w:r>
        <w:t xml:space="preserve"> d 0 </w:t>
      </w:r>
      <w:r>
        <w:t>以生成候选视点</w:t>
      </w:r>
      <w:r>
        <w:t xml:space="preserve"> vj</w:t>
      </w:r>
      <w:r>
        <w:t>：</w:t>
      </w:r>
      <w:r>
        <w:t xml:space="preserve"> </w:t>
      </w:r>
    </w:p>
    <w:p w:rsidR="00E6531A" w:rsidRDefault="00E6531A" w:rsidP="00FA4C95">
      <w:pPr>
        <w:pStyle w:val="afb"/>
      </w:pPr>
      <w:r w:rsidRPr="00E6531A">
        <w:rPr>
          <w:noProof/>
        </w:rPr>
        <w:drawing>
          <wp:inline distT="0" distB="0" distL="0" distR="0" wp14:anchorId="78AD92BE" wp14:editId="79A976B6">
            <wp:extent cx="3848338" cy="110440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8533" cy="1110201"/>
                    </a:xfrm>
                    <a:prstGeom prst="rect">
                      <a:avLst/>
                    </a:prstGeom>
                  </pic:spPr>
                </pic:pic>
              </a:graphicData>
            </a:graphic>
          </wp:inline>
        </w:drawing>
      </w:r>
    </w:p>
    <w:p w:rsidR="00E6531A" w:rsidRDefault="00E6531A" w:rsidP="00FA4C95">
      <w:r>
        <w:t>其中</w:t>
      </w:r>
      <w:r>
        <w:t xml:space="preserve"> a, b, c</w:t>
      </w:r>
      <w:r>
        <w:rPr>
          <w:rFonts w:ascii="宋体" w:hAnsi="宋体" w:cs="宋体" w:hint="eastAsia"/>
        </w:rPr>
        <w:t xml:space="preserve"> ∈ </w:t>
      </w:r>
      <w:r>
        <w:t xml:space="preserve">R³ </w:t>
      </w:r>
      <w:r>
        <w:t>是三角形片段</w:t>
      </w:r>
      <w:r>
        <w:t xml:space="preserve"> T (4) (5) j </w:t>
      </w:r>
      <w:r>
        <w:t>的顶点，</w:t>
      </w:r>
      <w:r>
        <w:t xml:space="preserve">d₀ = 350mm </w:t>
      </w:r>
      <w:r>
        <w:t>是传感器的推荐工作距离。这种构造方法确保候选视点既与局部表面几何形状对齐，又位于有效景深范围内。</w:t>
      </w:r>
      <w:r>
        <w:t xml:space="preserve"> </w:t>
      </w:r>
      <w:r>
        <w:t>如图</w:t>
      </w:r>
      <w:r>
        <w:t xml:space="preserve"> 4 </w:t>
      </w:r>
      <w:r>
        <w:t>所示，每个构造出的候选视点</w:t>
      </w:r>
      <w:r>
        <w:t xml:space="preserve"> vj </w:t>
      </w:r>
      <w:r>
        <w:t>对应于相机的光学中心，作为虚拟成像系统中成像轴的参考点。</w:t>
      </w:r>
      <w:r>
        <w:t xml:space="preserve"> </w:t>
      </w:r>
    </w:p>
    <w:p w:rsidR="00E6531A" w:rsidRDefault="00FA4C95" w:rsidP="00FA4C95">
      <w:pPr>
        <w:pStyle w:val="afb"/>
      </w:pPr>
      <w:r>
        <w:rPr>
          <w:noProof/>
        </w:rPr>
        <w:lastRenderedPageBreak/>
        <w:drawing>
          <wp:inline distT="0" distB="0" distL="0" distR="0" wp14:anchorId="1E056242" wp14:editId="4F974B14">
            <wp:extent cx="3681351" cy="2945080"/>
            <wp:effectExtent l="0" t="0" r="0" b="8255"/>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3776550" cy="3021239"/>
                    </a:xfrm>
                    <a:prstGeom prst="rect">
                      <a:avLst/>
                    </a:prstGeom>
                  </pic:spPr>
                </pic:pic>
              </a:graphicData>
            </a:graphic>
          </wp:inline>
        </w:drawing>
      </w:r>
    </w:p>
    <w:p w:rsidR="00E6531A" w:rsidRPr="00F3509C" w:rsidRDefault="00E6531A" w:rsidP="00FA4C95">
      <w:pPr>
        <w:pStyle w:val="afb"/>
      </w:pPr>
      <w:r>
        <w:rPr>
          <w:b/>
          <w:w w:val="110"/>
        </w:rPr>
        <w:t>图</w:t>
      </w:r>
      <w:r>
        <w:rPr>
          <w:b/>
          <w:w w:val="110"/>
        </w:rPr>
        <w:t xml:space="preserve"> 4.</w:t>
      </w:r>
      <w:r>
        <w:rPr>
          <w:w w:val="110"/>
        </w:rPr>
        <w:t xml:space="preserve"> </w:t>
      </w:r>
      <w:r>
        <w:rPr>
          <w:w w:val="110"/>
        </w:rPr>
        <w:t>候选视点</w:t>
      </w:r>
      <w:r>
        <w:rPr>
          <w:spacing w:val="-2"/>
          <w:w w:val="110"/>
        </w:rPr>
        <w:t>位置</w:t>
      </w:r>
      <w:r>
        <w:rPr>
          <w:w w:val="110"/>
        </w:rPr>
        <w:t>的构造</w:t>
      </w:r>
      <w:r>
        <w:rPr>
          <w:spacing w:val="-2"/>
          <w:w w:val="110"/>
        </w:rPr>
        <w:t>。</w:t>
      </w:r>
    </w:p>
    <w:p w:rsidR="00F3509C" w:rsidRDefault="00E6531A" w:rsidP="00FA4C95">
      <w:r>
        <w:t xml:space="preserve">(2) </w:t>
      </w:r>
      <w:r>
        <w:t>姿态构造</w:t>
      </w:r>
      <w:r>
        <w:t xml:space="preserve"> </w:t>
      </w:r>
    </w:p>
    <w:p w:rsidR="00B41EAF" w:rsidRDefault="00E6531A" w:rsidP="00FA4C95">
      <w:r>
        <w:t>为了在周向扫描过程中保持姿态连续性并减少路径的突变，本文提出了一种基于法线引导且受轴向约束的姿态构造策略。如图</w:t>
      </w:r>
      <w:r>
        <w:t xml:space="preserve"> 5 </w:t>
      </w:r>
      <w:r>
        <w:t>所示，该方法利用了叶盘上叶片的周向分布</w:t>
      </w:r>
      <w:r w:rsidR="00DC495E">
        <w:t>，确保每个视点的光轴始终与叶片表面的质心对齐，同时相对于叶盘中心建立统一的横向方向。</w:t>
      </w:r>
      <w:r w:rsidR="00DC495E">
        <w:t xml:space="preserve"> </w:t>
      </w:r>
      <w:r w:rsidR="00DC495E">
        <w:t>该设计不仅保证了视向与目标几何形状的一致性，还在整个扫描过程中维持了相机与投影仪之间的固定相对布局，从而确保投影区域与成像视场之间的遮挡条件保持一致。</w:t>
      </w:r>
    </w:p>
    <w:p w:rsidR="00F3509C" w:rsidRPr="00F3509C" w:rsidRDefault="00FA4C95" w:rsidP="00FA4C95">
      <w:pPr>
        <w:pStyle w:val="afb"/>
      </w:pPr>
      <w:r>
        <w:rPr>
          <w:noProof/>
        </w:rPr>
        <w:drawing>
          <wp:inline distT="0" distB="0" distL="0" distR="0" wp14:anchorId="4C649929" wp14:editId="4A548B7E">
            <wp:extent cx="3084830" cy="1853565"/>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4830" cy="1853565"/>
                    </a:xfrm>
                    <a:prstGeom prst="rect">
                      <a:avLst/>
                    </a:prstGeom>
                    <a:noFill/>
                  </pic:spPr>
                </pic:pic>
              </a:graphicData>
            </a:graphic>
          </wp:inline>
        </w:drawing>
      </w:r>
    </w:p>
    <w:p w:rsidR="00E6531A" w:rsidRDefault="00E6531A" w:rsidP="00FA4C95">
      <w:pPr>
        <w:pStyle w:val="afb"/>
      </w:pPr>
      <w:r>
        <w:rPr>
          <w:b/>
          <w:w w:val="115"/>
        </w:rPr>
        <w:t>图</w:t>
      </w:r>
      <w:r>
        <w:rPr>
          <w:b/>
          <w:w w:val="115"/>
        </w:rPr>
        <w:t xml:space="preserve"> 5.</w:t>
      </w:r>
      <w:r>
        <w:rPr>
          <w:w w:val="115"/>
        </w:rPr>
        <w:t xml:space="preserve"> </w:t>
      </w:r>
      <w:r>
        <w:rPr>
          <w:w w:val="115"/>
        </w:rPr>
        <w:t>视点方向</w:t>
      </w:r>
      <w:r>
        <w:rPr>
          <w:spacing w:val="-2"/>
          <w:w w:val="115"/>
        </w:rPr>
        <w:t>构建</w:t>
      </w:r>
      <w:r>
        <w:rPr>
          <w:w w:val="115"/>
        </w:rPr>
        <w:t>的示意图</w:t>
      </w:r>
      <w:r>
        <w:rPr>
          <w:spacing w:val="-2"/>
          <w:w w:val="115"/>
        </w:rPr>
        <w:t>。</w:t>
      </w:r>
    </w:p>
    <w:p w:rsidR="00DC495E" w:rsidRDefault="00DC495E" w:rsidP="00FA4C95">
      <w:r>
        <w:t>观测轴</w:t>
      </w:r>
      <w:r>
        <w:t xml:space="preserve"> </w:t>
      </w:r>
      <w:r>
        <w:rPr>
          <w:i/>
          <w:iCs/>
          <w:sz w:val="11"/>
          <w:szCs w:val="11"/>
        </w:rPr>
        <w:t>zj</w:t>
      </w:r>
      <w:r>
        <w:t xml:space="preserve"> </w:t>
      </w:r>
      <w:r>
        <w:t>定义为从视点</w:t>
      </w:r>
      <w:r>
        <w:t xml:space="preserve"> </w:t>
      </w:r>
      <w:r>
        <w:rPr>
          <w:i/>
          <w:iCs/>
          <w:sz w:val="11"/>
          <w:szCs w:val="11"/>
        </w:rPr>
        <w:t>vj</w:t>
      </w:r>
      <w:r>
        <w:t xml:space="preserve"> </w:t>
      </w:r>
      <w:r>
        <w:t>指向质心</w:t>
      </w:r>
      <w:r>
        <w:t xml:space="preserve"> </w:t>
      </w:r>
      <w:r>
        <w:rPr>
          <w:i/>
          <w:iCs/>
          <w:sz w:val="11"/>
          <w:szCs w:val="11"/>
        </w:rPr>
        <w:t xml:space="preserve">cj </w:t>
      </w:r>
      <w:r>
        <w:t>的单位向量：</w:t>
      </w:r>
    </w:p>
    <w:p w:rsidR="00F3509C" w:rsidRDefault="00F3509C" w:rsidP="00FA4C95">
      <w:r w:rsidRPr="00F3509C">
        <w:rPr>
          <w:noProof/>
        </w:rPr>
        <w:drawing>
          <wp:inline distT="0" distB="0" distL="0" distR="0" wp14:anchorId="07B2A52B" wp14:editId="6B770A1B">
            <wp:extent cx="4772691" cy="523948"/>
            <wp:effectExtent l="0" t="0" r="889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2691" cy="523948"/>
                    </a:xfrm>
                    <a:prstGeom prst="rect">
                      <a:avLst/>
                    </a:prstGeom>
                  </pic:spPr>
                </pic:pic>
              </a:graphicData>
            </a:graphic>
          </wp:inline>
        </w:drawing>
      </w:r>
    </w:p>
    <w:p w:rsidR="00DC495E" w:rsidRDefault="00DC495E" w:rsidP="00FA4C95">
      <w:r>
        <w:t>该定义确保了传感器的主视向指向目标区域，从而满足局部可见性要求。</w:t>
      </w:r>
      <w:r>
        <w:t xml:space="preserve"> </w:t>
      </w:r>
    </w:p>
    <w:p w:rsidR="00DC495E" w:rsidRDefault="00DC495E" w:rsidP="00FA4C95">
      <w:r>
        <w:lastRenderedPageBreak/>
        <w:t>仅凭轴</w:t>
      </w:r>
      <w:r>
        <w:t xml:space="preserve"> </w:t>
      </w:r>
      <w:r>
        <w:rPr>
          <w:i/>
          <w:iCs/>
          <w:sz w:val="11"/>
          <w:szCs w:val="11"/>
        </w:rPr>
        <w:t>zj</w:t>
      </w:r>
      <w:r>
        <w:t xml:space="preserve"> </w:t>
      </w:r>
      <w:r>
        <w:t>仍不足以唯一确定姿态，因为围绕</w:t>
      </w:r>
      <w:r>
        <w:t xml:space="preserve"> </w:t>
      </w:r>
      <w:r>
        <w:rPr>
          <w:i/>
          <w:iCs/>
          <w:sz w:val="11"/>
          <w:szCs w:val="11"/>
        </w:rPr>
        <w:t xml:space="preserve">zj </w:t>
      </w:r>
      <w:r>
        <w:rPr>
          <w:i/>
          <w:iCs/>
          <w:sz w:val="11"/>
          <w:szCs w:val="11"/>
        </w:rPr>
        <w:t>的</w:t>
      </w:r>
      <w:r>
        <w:t>旋转不受约束。为了提供一个全局一致的横滚参考，我们定义径向向量：</w:t>
      </w:r>
      <w:r>
        <w:t xml:space="preserve"> </w:t>
      </w:r>
    </w:p>
    <w:p w:rsidR="00DC495E" w:rsidRDefault="008330F3" w:rsidP="00FA4C95">
      <w:pPr>
        <w:ind w:firstLine="200"/>
      </w:pPr>
      <w:r w:rsidRPr="008330F3">
        <w:rPr>
          <w:i/>
          <w:iCs/>
          <w:sz w:val="10"/>
          <w:szCs w:val="10"/>
        </w:rPr>
        <w:drawing>
          <wp:inline distT="0" distB="0" distL="0" distR="0" wp14:anchorId="6AF0BA33" wp14:editId="45CB3370">
            <wp:extent cx="6408420" cy="4425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8420" cy="442595"/>
                    </a:xfrm>
                    <a:prstGeom prst="rect">
                      <a:avLst/>
                    </a:prstGeom>
                  </pic:spPr>
                </pic:pic>
              </a:graphicData>
            </a:graphic>
          </wp:inline>
        </w:drawing>
      </w:r>
      <w:r w:rsidR="00DC495E">
        <w:t>其中</w:t>
      </w:r>
      <w:r w:rsidR="00DC495E">
        <w:t xml:space="preserve"> </w:t>
      </w:r>
      <w:r w:rsidR="00DC495E">
        <w:rPr>
          <w:i/>
          <w:iCs/>
          <w:sz w:val="11"/>
          <w:szCs w:val="11"/>
        </w:rPr>
        <w:t>od</w:t>
      </w:r>
      <w:r w:rsidR="00DC495E">
        <w:t xml:space="preserve"> </w:t>
      </w:r>
      <w:r w:rsidR="00DC495E">
        <w:t>表示圆盘中心。向量</w:t>
      </w:r>
      <w:r w:rsidR="00DC495E">
        <w:t xml:space="preserve"> </w:t>
      </w:r>
      <w:r w:rsidR="00DC495E">
        <w:rPr>
          <w:i/>
          <w:iCs/>
          <w:sz w:val="11"/>
          <w:szCs w:val="11"/>
        </w:rPr>
        <w:t>dj</w:t>
      </w:r>
      <w:r w:rsidR="00DC495E">
        <w:t xml:space="preserve"> </w:t>
      </w:r>
      <w:r w:rsidR="00DC495E">
        <w:t>描述了视点相对于圆盘中心的方向。由于</w:t>
      </w:r>
      <w:r w:rsidR="00DC495E">
        <w:t xml:space="preserve"> </w:t>
      </w:r>
      <w:r w:rsidR="00DC495E">
        <w:rPr>
          <w:i/>
          <w:iCs/>
          <w:sz w:val="11"/>
          <w:szCs w:val="11"/>
        </w:rPr>
        <w:t>dj</w:t>
      </w:r>
      <w:r w:rsidR="00DC495E">
        <w:t xml:space="preserve"> </w:t>
      </w:r>
      <w:r w:rsidR="00DC495E">
        <w:t>通常与</w:t>
      </w:r>
      <w:r w:rsidR="00DC495E">
        <w:t xml:space="preserve"> </w:t>
      </w:r>
      <w:r w:rsidR="00DC495E">
        <w:rPr>
          <w:i/>
          <w:iCs/>
          <w:sz w:val="11"/>
          <w:szCs w:val="11"/>
        </w:rPr>
        <w:t>zj</w:t>
      </w:r>
      <w:r w:rsidR="00DC495E">
        <w:t xml:space="preserve"> </w:t>
      </w:r>
      <w:r w:rsidR="00DC495E">
        <w:t>不正交，为了确保</w:t>
      </w:r>
      <w:r w:rsidR="00DC495E">
        <w:t xml:space="preserve"> </w:t>
      </w:r>
      <w:r w:rsidR="00DC495E">
        <w:rPr>
          <w:i/>
          <w:iCs/>
          <w:sz w:val="11"/>
          <w:szCs w:val="11"/>
        </w:rPr>
        <w:t>xj</w:t>
      </w:r>
      <w:r w:rsidR="00DC495E">
        <w:t xml:space="preserve"> </w:t>
      </w:r>
      <w:r w:rsidR="00DC495E">
        <w:t>位于垂直于</w:t>
      </w:r>
      <w:r w:rsidR="00DC495E">
        <w:t xml:space="preserve"> </w:t>
      </w:r>
      <w:r w:rsidR="00DC495E">
        <w:rPr>
          <w:i/>
          <w:iCs/>
          <w:sz w:val="11"/>
          <w:szCs w:val="11"/>
        </w:rPr>
        <w:t>zj</w:t>
      </w:r>
      <w:r w:rsidR="00DC495E">
        <w:t xml:space="preserve"> </w:t>
      </w:r>
      <w:r w:rsidR="00DC495E">
        <w:t>的平面内，必须去除</w:t>
      </w:r>
      <w:r w:rsidR="00DC495E">
        <w:t xml:space="preserve"> </w:t>
      </w:r>
      <w:r w:rsidR="00DC495E">
        <w:rPr>
          <w:i/>
          <w:iCs/>
          <w:sz w:val="11"/>
          <w:szCs w:val="11"/>
        </w:rPr>
        <w:t>dj</w:t>
      </w:r>
      <w:r w:rsidR="00DC495E">
        <w:t xml:space="preserve"> </w:t>
      </w:r>
      <w:r w:rsidR="00DC495E">
        <w:t>沿</w:t>
      </w:r>
      <w:r w:rsidR="00DC495E">
        <w:t xml:space="preserve"> </w:t>
      </w:r>
      <w:r w:rsidR="00DC495E">
        <w:rPr>
          <w:i/>
          <w:iCs/>
          <w:sz w:val="11"/>
          <w:szCs w:val="11"/>
        </w:rPr>
        <w:t>zj</w:t>
      </w:r>
      <w:r w:rsidR="00DC495E">
        <w:t xml:space="preserve"> </w:t>
      </w:r>
      <w:r w:rsidR="00DC495E">
        <w:t>方向的投影分量。由于</w:t>
      </w:r>
      <w:r w:rsidR="00DC495E">
        <w:t xml:space="preserve"> </w:t>
      </w:r>
      <w:r w:rsidR="00DC495E">
        <w:rPr>
          <w:i/>
          <w:iCs/>
          <w:sz w:val="11"/>
          <w:szCs w:val="11"/>
        </w:rPr>
        <w:t xml:space="preserve">zj </w:t>
      </w:r>
      <w:r w:rsidR="00DC495E">
        <w:t>是单位向量</w:t>
      </w:r>
      <w:r w:rsidR="00DC495E">
        <w:rPr>
          <w:i/>
          <w:iCs/>
          <w:sz w:val="11"/>
          <w:szCs w:val="11"/>
        </w:rPr>
        <w:t>，</w:t>
      </w:r>
      <w:r w:rsidR="00DC495E">
        <w:rPr>
          <w:i/>
          <w:iCs/>
          <w:sz w:val="11"/>
          <w:szCs w:val="11"/>
        </w:rPr>
        <w:t xml:space="preserve">dj </w:t>
      </w:r>
      <w:r w:rsidR="00DC495E">
        <w:t>在</w:t>
      </w:r>
      <w:r w:rsidR="00DC495E">
        <w:t xml:space="preserve"> </w:t>
      </w:r>
      <w:r w:rsidR="00DC495E">
        <w:rPr>
          <w:i/>
          <w:iCs/>
          <w:sz w:val="11"/>
          <w:szCs w:val="11"/>
        </w:rPr>
        <w:t>zj</w:t>
      </w:r>
      <w:r w:rsidR="00DC495E">
        <w:t xml:space="preserve"> </w:t>
      </w:r>
      <w:r w:rsidR="00DC495E">
        <w:t>上的投影为：</w:t>
      </w:r>
      <w:r w:rsidR="00DC495E">
        <w:t xml:space="preserve"> </w:t>
      </w:r>
    </w:p>
    <w:p w:rsidR="008330F3" w:rsidRDefault="008330F3" w:rsidP="008330F3">
      <w:pPr>
        <w:pStyle w:val="afb"/>
      </w:pPr>
      <w:r w:rsidRPr="008330F3">
        <w:drawing>
          <wp:inline distT="0" distB="0" distL="0" distR="0" wp14:anchorId="2AF41ED1" wp14:editId="0E32DBC4">
            <wp:extent cx="6408420" cy="567690"/>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8420" cy="567690"/>
                    </a:xfrm>
                    <a:prstGeom prst="rect">
                      <a:avLst/>
                    </a:prstGeom>
                  </pic:spPr>
                </pic:pic>
              </a:graphicData>
            </a:graphic>
          </wp:inline>
        </w:drawing>
      </w:r>
    </w:p>
    <w:p w:rsidR="00DC495E" w:rsidRDefault="00DC495E" w:rsidP="008330F3">
      <w:r>
        <w:t>因</w:t>
      </w:r>
      <w:r w:rsidRPr="008330F3">
        <w:t>此，面内正交分量为：</w:t>
      </w:r>
      <w:r w:rsidRPr="008330F3">
        <w:t xml:space="preserve"> </w:t>
      </w:r>
    </w:p>
    <w:p w:rsidR="00DC495E" w:rsidRDefault="008330F3" w:rsidP="008330F3">
      <w:pPr>
        <w:pStyle w:val="afb"/>
      </w:pPr>
      <w:r w:rsidRPr="008330F3">
        <w:drawing>
          <wp:inline distT="0" distB="0" distL="0" distR="0" wp14:anchorId="0B7DA5A1" wp14:editId="43C9E94A">
            <wp:extent cx="6408420" cy="603885"/>
            <wp:effectExtent l="0" t="0" r="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8420" cy="603885"/>
                    </a:xfrm>
                    <a:prstGeom prst="rect">
                      <a:avLst/>
                    </a:prstGeom>
                  </pic:spPr>
                </pic:pic>
              </a:graphicData>
            </a:graphic>
          </wp:inline>
        </w:drawing>
      </w:r>
      <w:r w:rsidR="00DC495E" w:rsidRPr="00DC495E">
        <w:t>由此可知，</w:t>
      </w:r>
      <w:r w:rsidR="00DC495E" w:rsidRPr="00DC495E">
        <w:t>dj,</w:t>
      </w:r>
      <w:r w:rsidR="00DC495E" w:rsidRPr="00DC495E">
        <w:rPr>
          <w:rFonts w:ascii="宋体" w:hAnsi="宋体" w:cs="宋体" w:hint="eastAsia"/>
        </w:rPr>
        <w:t xml:space="preserve">⊥ </w:t>
      </w:r>
      <w:r w:rsidR="00DC495E" w:rsidRPr="00DC495E">
        <w:t>是</w:t>
      </w:r>
      <w:r w:rsidR="00DC495E" w:rsidRPr="00DC495E">
        <w:t xml:space="preserve"> dj </w:t>
      </w:r>
      <w:r w:rsidR="00DC495E" w:rsidRPr="00DC495E">
        <w:t>在法向量为</w:t>
      </w:r>
      <w:r w:rsidR="00DC495E" w:rsidRPr="00DC495E">
        <w:t xml:space="preserve"> zj </w:t>
      </w:r>
      <w:r w:rsidR="00DC495E" w:rsidRPr="00DC495E">
        <w:t>的平面上的正交投影，也可视为</w:t>
      </w:r>
      <w:r w:rsidR="00DC495E" w:rsidRPr="00DC495E">
        <w:t xml:space="preserve"> dj </w:t>
      </w:r>
      <w:r w:rsidR="00DC495E" w:rsidRPr="00DC495E">
        <w:t>相对于</w:t>
      </w:r>
      <w:r w:rsidR="00DC495E" w:rsidRPr="00DC495E">
        <w:t xml:space="preserve"> zj </w:t>
      </w:r>
      <w:r w:rsidR="00DC495E" w:rsidRPr="00DC495E">
        <w:t>进行的一步格拉姆</w:t>
      </w:r>
      <w:r w:rsidR="00DC495E" w:rsidRPr="00DC495E">
        <w:t>-</w:t>
      </w:r>
      <w:r w:rsidR="00DC495E" w:rsidRPr="00DC495E">
        <w:t>施密特正交化。因此，它必然满足：</w:t>
      </w:r>
    </w:p>
    <w:p w:rsidR="00DC495E" w:rsidRDefault="008330F3" w:rsidP="008330F3">
      <w:pPr>
        <w:pStyle w:val="afb"/>
      </w:pPr>
      <w:r w:rsidRPr="008330F3">
        <w:drawing>
          <wp:inline distT="0" distB="0" distL="0" distR="0" wp14:anchorId="385FE5B5" wp14:editId="07C1266F">
            <wp:extent cx="6408420" cy="512445"/>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8420" cy="512445"/>
                    </a:xfrm>
                    <a:prstGeom prst="rect">
                      <a:avLst/>
                    </a:prstGeom>
                  </pic:spPr>
                </pic:pic>
              </a:graphicData>
            </a:graphic>
          </wp:inline>
        </w:drawing>
      </w:r>
      <w:r w:rsidR="00DC495E">
        <w:t>对平面内分量进行归一化可得局部</w:t>
      </w:r>
      <w:r w:rsidR="00DC495E">
        <w:t xml:space="preserve"> </w:t>
      </w:r>
      <w:r w:rsidR="00DC495E">
        <w:rPr>
          <w:b/>
          <w:bCs/>
          <w:i/>
          <w:iCs/>
        </w:rPr>
        <w:t>x</w:t>
      </w:r>
      <w:r w:rsidR="00DC495E">
        <w:rPr>
          <w:rFonts w:ascii="微软雅黑" w:eastAsia="微软雅黑" w:hAnsi="微软雅黑" w:cs="微软雅黑" w:hint="eastAsia"/>
        </w:rPr>
        <w:t>􀀀</w:t>
      </w:r>
      <w:r w:rsidR="00DC495E">
        <w:t xml:space="preserve"> </w:t>
      </w:r>
      <w:r w:rsidR="00DC495E">
        <w:t>轴：</w:t>
      </w:r>
      <w:r w:rsidR="00DC495E">
        <w:t xml:space="preserve"> </w:t>
      </w:r>
    </w:p>
    <w:p w:rsidR="008330F3" w:rsidRDefault="008330F3" w:rsidP="008330F3">
      <w:pPr>
        <w:pStyle w:val="afb"/>
      </w:pPr>
      <w:r w:rsidRPr="008330F3">
        <w:drawing>
          <wp:inline distT="0" distB="0" distL="0" distR="0" wp14:anchorId="5FB4CDB8" wp14:editId="57D66174">
            <wp:extent cx="6408420" cy="929005"/>
            <wp:effectExtent l="0" t="0" r="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8420" cy="929005"/>
                    </a:xfrm>
                    <a:prstGeom prst="rect">
                      <a:avLst/>
                    </a:prstGeom>
                  </pic:spPr>
                </pic:pic>
              </a:graphicData>
            </a:graphic>
          </wp:inline>
        </w:drawing>
      </w:r>
    </w:p>
    <w:p w:rsidR="00DC495E" w:rsidRDefault="00DC495E" w:rsidP="00FA4C95">
      <w:r>
        <w:t>该构造保证了</w:t>
      </w:r>
      <w:r>
        <w:rPr>
          <w:rFonts w:ascii="Cambria Math" w:eastAsia="ARMMF D+ Te X_ C M_ Maths_ Exte" w:hAnsi="Cambria Math" w:cs="Cambria Math"/>
        </w:rPr>
        <w:t xml:space="preserve">⃒⃒ xj⃒⃒ </w:t>
      </w:r>
      <w:r>
        <w:rPr>
          <w:rFonts w:ascii="ARMMF D+ Te X_ C M_ Maths_ Exte" w:eastAsia="ARMMF D+ Te X_ C M_ Maths_ Exte" w:cs="ARMMF D+ Te X_ C M_ Maths_ Exte"/>
        </w:rPr>
        <w:t>=</w:t>
      </w:r>
      <w:r>
        <w:t xml:space="preserve"> 1 </w:t>
      </w:r>
      <w:r>
        <w:t>且</w:t>
      </w:r>
      <w:r>
        <w:t xml:space="preserve"> </w:t>
      </w:r>
      <w:r>
        <w:rPr>
          <w:i/>
          <w:iCs/>
          <w:sz w:val="10"/>
          <w:szCs w:val="10"/>
        </w:rPr>
        <w:t>x</w:t>
      </w:r>
      <w:r>
        <w:rPr>
          <w:rFonts w:ascii="Cambria Math" w:hAnsi="Cambria Math" w:cs="Cambria Math"/>
          <w:i/>
          <w:iCs/>
          <w:sz w:val="10"/>
          <w:szCs w:val="10"/>
        </w:rPr>
        <w:t>⊤</w:t>
      </w:r>
      <w:r>
        <w:rPr>
          <w:i/>
          <w:iCs/>
          <w:sz w:val="10"/>
          <w:szCs w:val="10"/>
        </w:rPr>
        <w:t xml:space="preserve">jzj </w:t>
      </w:r>
      <w:r>
        <w:t>= 0</w:t>
      </w:r>
      <w:r>
        <w:t>，从而固定了围绕</w:t>
      </w:r>
      <w:r>
        <w:t xml:space="preserve"> </w:t>
      </w:r>
      <w:r>
        <w:rPr>
          <w:i/>
          <w:iCs/>
          <w:sz w:val="10"/>
          <w:szCs w:val="10"/>
        </w:rPr>
        <w:t>zj</w:t>
      </w:r>
      <w:r>
        <w:t xml:space="preserve"> </w:t>
      </w:r>
      <w:r>
        <w:t>的滚转方向，并在不同视点间提供了统一的定向参考。</w:t>
      </w:r>
      <w:r>
        <w:t xml:space="preserve"> </w:t>
      </w:r>
    </w:p>
    <w:p w:rsidR="00B41EAF" w:rsidRDefault="00DC495E" w:rsidP="00FA4C95">
      <w:r>
        <w:t>第三个基向量由右手定则定义：</w:t>
      </w:r>
    </w:p>
    <w:p w:rsidR="00DC495E" w:rsidRDefault="008330F3" w:rsidP="008330F3">
      <w:pPr>
        <w:pStyle w:val="afb"/>
      </w:pPr>
      <w:r w:rsidRPr="008330F3">
        <w:drawing>
          <wp:inline distT="0" distB="0" distL="0" distR="0" wp14:anchorId="111ADF31" wp14:editId="64E59C38">
            <wp:extent cx="6408420" cy="395605"/>
            <wp:effectExtent l="0" t="0" r="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8420" cy="395605"/>
                    </a:xfrm>
                    <a:prstGeom prst="rect">
                      <a:avLst/>
                    </a:prstGeom>
                  </pic:spPr>
                </pic:pic>
              </a:graphicData>
            </a:graphic>
          </wp:inline>
        </w:drawing>
      </w:r>
      <w:r w:rsidR="00DC495E">
        <w:t xml:space="preserve"> </w:t>
      </w:r>
    </w:p>
    <w:p w:rsidR="00DC495E" w:rsidRDefault="00DC495E" w:rsidP="00FA4C95">
      <w:r>
        <w:t>旋转矩阵的构建方式如下：</w:t>
      </w:r>
    </w:p>
    <w:p w:rsidR="008330F3" w:rsidRDefault="008330F3" w:rsidP="008330F3">
      <w:pPr>
        <w:pStyle w:val="afb"/>
      </w:pPr>
      <w:r w:rsidRPr="008330F3">
        <w:drawing>
          <wp:inline distT="0" distB="0" distL="0" distR="0" wp14:anchorId="137BA582" wp14:editId="20BE11BC">
            <wp:extent cx="6408420" cy="46228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8420" cy="462280"/>
                    </a:xfrm>
                    <a:prstGeom prst="rect">
                      <a:avLst/>
                    </a:prstGeom>
                  </pic:spPr>
                </pic:pic>
              </a:graphicData>
            </a:graphic>
          </wp:inline>
        </w:drawing>
      </w:r>
    </w:p>
    <w:p w:rsidR="00DC495E" w:rsidRDefault="00DC495E" w:rsidP="00FA4C95">
      <w:r>
        <w:t>在</w:t>
      </w:r>
      <w:r>
        <w:t xml:space="preserve"> dj,</w:t>
      </w:r>
      <w:r>
        <w:rPr>
          <w:rFonts w:ascii="宋体" w:hAnsi="宋体" w:cs="宋体" w:hint="eastAsia"/>
        </w:rPr>
        <w:t>⊥</w:t>
      </w:r>
      <w:r>
        <w:rPr>
          <w:rFonts w:cs="Times New Roman"/>
        </w:rPr>
        <w:t>∕</w:t>
      </w:r>
      <w:r>
        <w:t xml:space="preserve">=0 </w:t>
      </w:r>
      <w:r>
        <w:t>的条件下，向量</w:t>
      </w:r>
      <w:r>
        <w:t xml:space="preserve"> xj</w:t>
      </w:r>
      <w:r>
        <w:t>、</w:t>
      </w:r>
      <w:r>
        <w:t xml:space="preserve">yj </w:t>
      </w:r>
      <w:r>
        <w:t>和</w:t>
      </w:r>
      <w:r>
        <w:t xml:space="preserve"> zj </w:t>
      </w:r>
      <w:r>
        <w:t>彼此正交且长度为单位。因此，满足</w:t>
      </w:r>
      <w:r>
        <w:t xml:space="preserve"> </w:t>
      </w:r>
      <w:r>
        <w:rPr>
          <w:rFonts w:ascii="Cambria Math" w:hAnsi="Cambria Math" w:cs="Cambria Math"/>
        </w:rPr>
        <w:t xml:space="preserve">R⊤ </w:t>
      </w:r>
      <w:r>
        <w:t xml:space="preserve">j Rj=I </w:t>
      </w:r>
      <w:r>
        <w:t>且</w:t>
      </w:r>
      <w:r>
        <w:t xml:space="preserve"> </w:t>
      </w:r>
      <w:r>
        <w:lastRenderedPageBreak/>
        <w:t>detRj )=1</w:t>
      </w:r>
      <w:r>
        <w:t>。</w:t>
      </w:r>
      <w:r>
        <w:t xml:space="preserve"> </w:t>
      </w:r>
    </w:p>
    <w:p w:rsidR="00DC495E" w:rsidRDefault="00DC495E" w:rsidP="00FA4C95">
      <w:pPr>
        <w:pStyle w:val="3"/>
        <w:spacing w:after="156"/>
        <w:ind w:firstLine="482"/>
      </w:pPr>
      <w:r>
        <w:t xml:space="preserve">3.3.2. </w:t>
      </w:r>
      <w:r>
        <w:t>基于风险的自适应区域采样</w:t>
      </w:r>
      <w:r>
        <w:t xml:space="preserve"> </w:t>
      </w:r>
    </w:p>
    <w:p w:rsidR="00DC495E" w:rsidRDefault="00DC495E" w:rsidP="00FA4C95">
      <w:r>
        <w:t>在单片叶盘结构中，靠近几何边界的区域通常更容易受到测量精度下降和缺陷产生的双重影响</w:t>
      </w:r>
      <w:r>
        <w:t>[36,37]</w:t>
      </w:r>
      <w:r>
        <w:t>。</w:t>
      </w:r>
      <w:r>
        <w:t xml:space="preserve"> </w:t>
      </w:r>
      <w:r>
        <w:t>自遮挡和条纹质量劣化通常出现在轮廓和边缘周围，导致可见性中断和重建不稳定；同时，制造和运行载荷也使得边缘</w:t>
      </w:r>
      <w:r>
        <w:t>/</w:t>
      </w:r>
      <w:r>
        <w:t>过渡带容易出现缺陷。因此，靠近边界的区域提供了一个可解释的先验条件，用于优先处理那些</w:t>
      </w:r>
      <w:r>
        <w:t>“</w:t>
      </w:r>
      <w:r>
        <w:t>难以测量</w:t>
      </w:r>
      <w:r>
        <w:t>”</w:t>
      </w:r>
      <w:r>
        <w:t>但</w:t>
      </w:r>
      <w:r>
        <w:t>“</w:t>
      </w:r>
      <w:r>
        <w:t>价值较高</w:t>
      </w:r>
      <w:r>
        <w:t>”</w:t>
      </w:r>
      <w:r>
        <w:t>的区域。</w:t>
      </w:r>
      <w:r>
        <w:t xml:space="preserve"> </w:t>
      </w:r>
      <w:r>
        <w:t>为了定量编码这种敏感性，我们利用表面补丁到叶片边界的归一化距离构建了一个网格级风险函数。与依赖于噪声较大的二阶估计的基于曲率的显著性相比，所提出的基于距离的风险函数具有有界性和单调性，从而产生了一个宽度可控的连续边缘带。这简化了密度控制，并在无需曲率平滑或重新缩放的情况下提高了鲁棒性。</w:t>
      </w:r>
      <w:r>
        <w:t xml:space="preserve"> </w:t>
      </w:r>
    </w:p>
    <w:p w:rsidR="00DC495E" w:rsidRDefault="00DC495E" w:rsidP="00FA4C95">
      <w:r>
        <w:t>具体而言，对于一个片段</w:t>
      </w:r>
      <w:r>
        <w:t xml:space="preserve"> Tj</w:t>
      </w:r>
      <w:r>
        <w:t>，其到边界的平均距离定义为：</w:t>
      </w:r>
      <w:r>
        <w:t xml:space="preserve"> </w:t>
      </w:r>
    </w:p>
    <w:p w:rsidR="00DC495E" w:rsidRDefault="008330F3" w:rsidP="008330F3">
      <w:pPr>
        <w:pStyle w:val="afb"/>
      </w:pPr>
      <w:r w:rsidRPr="008330F3">
        <w:drawing>
          <wp:inline distT="0" distB="0" distL="0" distR="0" wp14:anchorId="3EB893F8" wp14:editId="6480746C">
            <wp:extent cx="6408420" cy="722630"/>
            <wp:effectExtent l="0" t="0" r="0" b="12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8420" cy="722630"/>
                    </a:xfrm>
                    <a:prstGeom prst="rect">
                      <a:avLst/>
                    </a:prstGeom>
                  </pic:spPr>
                </pic:pic>
              </a:graphicData>
            </a:graphic>
          </wp:inline>
        </w:drawing>
      </w:r>
    </w:p>
    <w:p w:rsidR="00DC495E" w:rsidRDefault="00DC495E" w:rsidP="00FA4C95">
      <w:r>
        <w:t>其中</w:t>
      </w:r>
      <w:r>
        <w:t xml:space="preserve"> vi,k (k=1,2,3) </w:t>
      </w:r>
      <w:r>
        <w:t>是片段</w:t>
      </w:r>
      <w:r>
        <w:t xml:space="preserve"> Ti </w:t>
      </w:r>
      <w:r>
        <w:t>的三个顶点，</w:t>
      </w:r>
      <w:r>
        <w:t xml:space="preserve">B </w:t>
      </w:r>
      <w:r>
        <w:t>表示边界顶点集。该公式计算每个顶点到边界的最小距离，并取其平均值作为片段的边界邻近度。为了进行全局比较，</w:t>
      </w:r>
      <w:r>
        <w:t xml:space="preserve">di </w:t>
      </w:r>
      <w:r>
        <w:t>被归一化以得到风险函数：</w:t>
      </w:r>
      <w:r>
        <w:t xml:space="preserve"> </w:t>
      </w:r>
    </w:p>
    <w:p w:rsidR="00DC495E" w:rsidRDefault="008330F3" w:rsidP="008330F3">
      <w:pPr>
        <w:pStyle w:val="afb"/>
      </w:pPr>
      <w:r w:rsidRPr="008330F3">
        <w:drawing>
          <wp:inline distT="0" distB="0" distL="0" distR="0" wp14:anchorId="5EC3D717" wp14:editId="48144ED2">
            <wp:extent cx="6408420" cy="5638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8420" cy="563880"/>
                    </a:xfrm>
                    <a:prstGeom prst="rect">
                      <a:avLst/>
                    </a:prstGeom>
                  </pic:spPr>
                </pic:pic>
              </a:graphicData>
            </a:graphic>
          </wp:inline>
        </w:drawing>
      </w:r>
      <w:r w:rsidR="00DC495E">
        <w:t xml:space="preserve"> </w:t>
      </w:r>
    </w:p>
    <w:p w:rsidR="00DC495E" w:rsidRDefault="00DC495E" w:rsidP="00FA4C95">
      <w:r>
        <w:t>其中</w:t>
      </w:r>
      <w:r>
        <w:t xml:space="preserve"> dmax </w:t>
      </w:r>
      <w:r>
        <w:t>为尺度参数。在本研究中，其进一步与叶片宽度</w:t>
      </w:r>
      <w:r>
        <w:t xml:space="preserve"> Wb </w:t>
      </w:r>
      <w:r>
        <w:t>相关联，即</w:t>
      </w:r>
      <w:r>
        <w:t xml:space="preserve"> dmax=kr</w:t>
      </w:r>
      <w:r>
        <w:rPr>
          <w:rFonts w:ascii="Cambria Math" w:hAnsi="Cambria Math" w:cs="Cambria Math"/>
        </w:rPr>
        <w:t>⋅</w:t>
      </w:r>
      <w:r>
        <w:t>Wb</w:t>
      </w:r>
      <w:r>
        <w:t>，其中</w:t>
      </w:r>
      <w:r>
        <w:t xml:space="preserve"> Wb </w:t>
      </w:r>
      <w:r>
        <w:t>表示叶片沿径向方向的平均宽度，</w:t>
      </w:r>
      <w:r>
        <w:t xml:space="preserve">kr </w:t>
      </w:r>
      <w:r>
        <w:t>设为</w:t>
      </w:r>
      <w:r>
        <w:t xml:space="preserve"> 0.1</w:t>
      </w:r>
      <w:r>
        <w:t>。此定义避免了在不同尺寸叶片上使用固定值所导致的尺度失衡，确保了在多种几何条件下风险函数具有更好的可比性。</w:t>
      </w:r>
      <w:r>
        <w:t xml:space="preserve"> </w:t>
      </w:r>
      <w:r>
        <w:t>采用该函数时，靠近边界的区域其风险值趋近于</w:t>
      </w:r>
      <w:r>
        <w:t>1</w:t>
      </w:r>
      <w:r>
        <w:t>，而远离边界的区域则逐渐减小至</w:t>
      </w:r>
      <w:r>
        <w:t>0</w:t>
      </w:r>
      <w:r>
        <w:t>。需要注意的是，</w:t>
      </w:r>
      <w:r>
        <w:t>kr</w:t>
      </w:r>
      <w:r>
        <w:t>的具体数值仅影响尺度归一化范围，但不会改变风险分布的相对梯度，因此对实验结果没有实质性影响。</w:t>
      </w:r>
      <w:r>
        <w:t xml:space="preserve"> </w:t>
      </w:r>
    </w:p>
    <w:p w:rsidR="00DC495E" w:rsidRDefault="00DC495E" w:rsidP="00FA4C95">
      <w:r>
        <w:t>为了在采样过程中平衡效率与精度，将连续的风险值进一步离散化为四个等级：</w:t>
      </w:r>
    </w:p>
    <w:p w:rsidR="00DC495E" w:rsidRDefault="008330F3" w:rsidP="008330F3">
      <w:pPr>
        <w:pStyle w:val="afb"/>
      </w:pPr>
      <w:r w:rsidRPr="008330F3">
        <w:drawing>
          <wp:inline distT="0" distB="0" distL="0" distR="0" wp14:anchorId="1BA07598" wp14:editId="56AA765F">
            <wp:extent cx="6408420" cy="1058545"/>
            <wp:effectExtent l="0" t="0" r="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8420" cy="1058545"/>
                    </a:xfrm>
                    <a:prstGeom prst="rect">
                      <a:avLst/>
                    </a:prstGeom>
                  </pic:spPr>
                </pic:pic>
              </a:graphicData>
            </a:graphic>
          </wp:inline>
        </w:drawing>
      </w:r>
    </w:p>
    <w:p w:rsidR="00DC495E" w:rsidRDefault="00DC495E" w:rsidP="00FA4C95">
      <w:r>
        <w:t>如图</w:t>
      </w:r>
      <w:r>
        <w:t>6</w:t>
      </w:r>
      <w:r>
        <w:t>所示，这四个风险等级分别对应极端风险、高风险、中风险和低风险区域。</w:t>
      </w:r>
      <w:r>
        <w:t xml:space="preserve"> </w:t>
      </w:r>
      <w:r>
        <w:t>这种分级确保了叶片边缘附近的高风险区域获得更密集的候选视点，而内部稳定区域则保持相对较低的采样密度，从而更好地满足实际检测任务的要求。在此基础上，设风险等级为</w:t>
      </w:r>
      <w:r>
        <w:t>L</w:t>
      </w:r>
      <w:r>
        <w:t>的区域表面积为</w:t>
      </w:r>
      <w:r>
        <w:t>AL</w:t>
      </w:r>
      <w:r>
        <w:t>，</w:t>
      </w:r>
      <w:r>
        <w:lastRenderedPageBreak/>
        <w:t>则相应的候选视点数定义为：</w:t>
      </w:r>
    </w:p>
    <w:p w:rsidR="00DC495E" w:rsidRDefault="008330F3" w:rsidP="008330F3">
      <w:pPr>
        <w:pStyle w:val="afb"/>
      </w:pPr>
      <w:r w:rsidRPr="008330F3">
        <w:drawing>
          <wp:inline distT="0" distB="0" distL="0" distR="0" wp14:anchorId="59B3BAAF" wp14:editId="59105FEB">
            <wp:extent cx="6408420" cy="59436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8420" cy="594360"/>
                    </a:xfrm>
                    <a:prstGeom prst="rect">
                      <a:avLst/>
                    </a:prstGeom>
                  </pic:spPr>
                </pic:pic>
              </a:graphicData>
            </a:graphic>
          </wp:inline>
        </w:drawing>
      </w:r>
    </w:p>
    <w:p w:rsidR="00DC495E" w:rsidRDefault="00DC495E" w:rsidP="00FA4C95">
      <w:r>
        <w:t>其中</w:t>
      </w:r>
      <w:r>
        <w:t xml:space="preserve"> ρL </w:t>
      </w:r>
      <w:r>
        <w:t>表示风险等级</w:t>
      </w:r>
      <w:r>
        <w:t xml:space="preserve"> L </w:t>
      </w:r>
      <w:r>
        <w:t>下的单位面积采样密度。不同风险等级之间的密度比设定为</w:t>
      </w:r>
      <w:r>
        <w:t xml:space="preserve"> ρ1 : ρ2 : ρ3 : ρ4 = 8:4:2:1</w:t>
      </w:r>
      <w:r>
        <w:t>。该比例通过第</w:t>
      </w:r>
      <w:r>
        <w:t xml:space="preserve"> 4.1.1 </w:t>
      </w:r>
      <w:r>
        <w:t>节所述的参数预实验确定，其合理性已通过实验验证。</w:t>
      </w:r>
      <w:r>
        <w:t xml:space="preserve"> </w:t>
      </w:r>
      <w:r>
        <w:t>公式中的常数</w:t>
      </w:r>
      <w:r>
        <w:t xml:space="preserve"> 1000 </w:t>
      </w:r>
      <w:r>
        <w:t>用于面积归一化（</w:t>
      </w:r>
      <w:r>
        <w:t>mm²</w:t>
      </w:r>
      <w:r>
        <w:t>），以确保不同叶片模型间参数的可比性。</w:t>
      </w:r>
      <w:r>
        <w:t xml:space="preserve"> </w:t>
      </w:r>
    </w:p>
    <w:p w:rsidR="00DC495E" w:rsidRDefault="00FA4C95" w:rsidP="00FA4C95">
      <w:pPr>
        <w:pStyle w:val="afb"/>
      </w:pPr>
      <w:r>
        <w:rPr>
          <w:noProof/>
        </w:rPr>
        <w:drawing>
          <wp:inline distT="0" distB="0" distL="0" distR="0" wp14:anchorId="53FE0A58" wp14:editId="53DFA49D">
            <wp:extent cx="3132161" cy="2067636"/>
            <wp:effectExtent l="0" t="0" r="0" b="889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1" cstate="print"/>
                    <a:stretch>
                      <a:fillRect/>
                    </a:stretch>
                  </pic:blipFill>
                  <pic:spPr>
                    <a:xfrm>
                      <a:off x="0" y="0"/>
                      <a:ext cx="3137930" cy="2071444"/>
                    </a:xfrm>
                    <a:prstGeom prst="rect">
                      <a:avLst/>
                    </a:prstGeom>
                  </pic:spPr>
                </pic:pic>
              </a:graphicData>
            </a:graphic>
          </wp:inline>
        </w:drawing>
      </w:r>
    </w:p>
    <w:p w:rsidR="00DC495E" w:rsidRPr="00DC495E" w:rsidRDefault="00DC495E" w:rsidP="00FA4C95">
      <w:pPr>
        <w:pStyle w:val="afb"/>
      </w:pPr>
      <w:r>
        <w:rPr>
          <w:w w:val="110"/>
        </w:rPr>
        <w:t>图</w:t>
      </w:r>
      <w:r>
        <w:rPr>
          <w:b/>
          <w:w w:val="110"/>
        </w:rPr>
        <w:t xml:space="preserve"> 6.</w:t>
      </w:r>
      <w:r>
        <w:rPr>
          <w:w w:val="110"/>
        </w:rPr>
        <w:t xml:space="preserve"> </w:t>
      </w:r>
      <w:r>
        <w:rPr>
          <w:w w:val="110"/>
        </w:rPr>
        <w:t>基于边缘</w:t>
      </w:r>
      <w:r>
        <w:rPr>
          <w:spacing w:val="-2"/>
          <w:w w:val="110"/>
        </w:rPr>
        <w:t>距离</w:t>
      </w:r>
      <w:r>
        <w:rPr>
          <w:w w:val="110"/>
        </w:rPr>
        <w:t>的风险等级分类策略示意图</w:t>
      </w:r>
      <w:r>
        <w:rPr>
          <w:spacing w:val="-2"/>
          <w:w w:val="110"/>
        </w:rPr>
        <w:t>。</w:t>
      </w:r>
    </w:p>
    <w:p w:rsidR="00DC495E" w:rsidRDefault="00DC495E" w:rsidP="00FA4C95">
      <w:r>
        <w:t>最后，在每片叶片中对应特定风险等级的区域内，采用</w:t>
      </w:r>
      <w:r>
        <w:t>“</w:t>
      </w:r>
      <w:r>
        <w:t>最远点采样</w:t>
      </w:r>
      <w:r>
        <w:t>”</w:t>
      </w:r>
      <w:r>
        <w:t>（</w:t>
      </w:r>
      <w:r>
        <w:t>FPS</w:t>
      </w:r>
      <w:r>
        <w:t>）策略从质心集选取</w:t>
      </w:r>
      <w:r>
        <w:t>NL</w:t>
      </w:r>
      <w:r>
        <w:t>个候选视点。</w:t>
      </w:r>
      <w:r>
        <w:t>FPS</w:t>
      </w:r>
      <w:r>
        <w:t>遵循最小距离最大化的规则，从而避免局部聚集并保持候选视点的均匀分布。</w:t>
      </w:r>
      <w:r>
        <w:t xml:space="preserve"> </w:t>
      </w:r>
      <w:r>
        <w:t>图</w:t>
      </w:r>
      <w:r>
        <w:t xml:space="preserve"> 7 </w:t>
      </w:r>
      <w:r>
        <w:t>展示了在</w:t>
      </w:r>
      <w:r>
        <w:t xml:space="preserve"> d0=20 </w:t>
      </w:r>
      <w:r>
        <w:t>的条件下，不同类型叶片上候选视点的分布情况。可以看出，高风险区域的视点分布更为密集，而低风险区域的分布则相对均匀。</w:t>
      </w:r>
      <w:r>
        <w:t xml:space="preserve"> </w:t>
      </w:r>
    </w:p>
    <w:p w:rsidR="00DC495E" w:rsidRDefault="00FA4C95" w:rsidP="00FA4C95">
      <w:pPr>
        <w:pStyle w:val="afb"/>
      </w:pPr>
      <w:r>
        <w:rPr>
          <w:noProof/>
        </w:rPr>
        <w:drawing>
          <wp:inline distT="0" distB="0" distL="0" distR="0" wp14:anchorId="74F2F09F" wp14:editId="2705F0A2">
            <wp:extent cx="3097014" cy="120091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2" cstate="print"/>
                    <a:stretch>
                      <a:fillRect/>
                    </a:stretch>
                  </pic:blipFill>
                  <pic:spPr>
                    <a:xfrm>
                      <a:off x="0" y="0"/>
                      <a:ext cx="3097014" cy="1200912"/>
                    </a:xfrm>
                    <a:prstGeom prst="rect">
                      <a:avLst/>
                    </a:prstGeom>
                  </pic:spPr>
                </pic:pic>
              </a:graphicData>
            </a:graphic>
          </wp:inline>
        </w:drawing>
      </w:r>
    </w:p>
    <w:p w:rsidR="00DC495E" w:rsidRPr="00DC495E" w:rsidRDefault="00DC495E" w:rsidP="00FA4C95">
      <w:pPr>
        <w:pStyle w:val="afb"/>
      </w:pPr>
      <w:bookmarkStart w:id="2" w:name="_bookmark13"/>
      <w:bookmarkEnd w:id="2"/>
      <w:r>
        <w:rPr>
          <w:b/>
          <w:w w:val="115"/>
        </w:rPr>
        <w:t>图</w:t>
      </w:r>
      <w:r>
        <w:rPr>
          <w:b/>
          <w:w w:val="115"/>
        </w:rPr>
        <w:t xml:space="preserve"> 7. </w:t>
      </w:r>
      <w:r>
        <w:rPr>
          <w:w w:val="115"/>
        </w:rPr>
        <w:t>三种不同叶片类型的候选视点分布，每片叶片上的视点以不同</w:t>
      </w:r>
      <w:r>
        <w:rPr>
          <w:spacing w:val="-2"/>
          <w:w w:val="115"/>
        </w:rPr>
        <w:t>颜色</w:t>
      </w:r>
      <w:r>
        <w:rPr>
          <w:w w:val="115"/>
        </w:rPr>
        <w:t>标示</w:t>
      </w:r>
      <w:r>
        <w:rPr>
          <w:spacing w:val="-2"/>
          <w:w w:val="115"/>
        </w:rPr>
        <w:t>。</w:t>
      </w:r>
    </w:p>
    <w:p w:rsidR="00DC495E" w:rsidRDefault="00DC495E" w:rsidP="00FA4C95">
      <w:pPr>
        <w:pStyle w:val="3"/>
        <w:spacing w:after="156"/>
        <w:ind w:firstLine="482"/>
      </w:pPr>
      <w:r>
        <w:t xml:space="preserve">3.3.3. </w:t>
      </w:r>
      <w:r>
        <w:t>可行性检查与扰动优化</w:t>
      </w:r>
      <w:r>
        <w:t xml:space="preserve"> </w:t>
      </w:r>
    </w:p>
    <w:p w:rsidR="00DC495E" w:rsidRDefault="00DC495E" w:rsidP="00FA4C95">
      <w:r>
        <w:t>尽管候选视点满足几何和风险等级约束，但在实际叶盘检测中，它们仍可能因相邻叶片的遮挡而失效。保留此类视点会降低扫描覆盖率，并增加机器人无效运动。因此，有必要在候选阶段引入可行性检查机制，并应用局部扰动搜索来修复无效视点。</w:t>
      </w:r>
      <w:r>
        <w:t xml:space="preserve"> </w:t>
      </w:r>
      <w:r>
        <w:t>候选视点</w:t>
      </w:r>
      <w:r>
        <w:t xml:space="preserve"> vj </w:t>
      </w:r>
      <w:r>
        <w:t>的可行性采用射线投射法进行评估，以确保在进入后续精细规划之前，能够识别出被其他叶片遮挡的视点。具体而言，如果从</w:t>
      </w:r>
      <w:r>
        <w:t xml:space="preserve"> vj </w:t>
      </w:r>
      <w:r>
        <w:t>沿视向</w:t>
      </w:r>
      <w:r>
        <w:t xml:space="preserve"> zj </w:t>
      </w:r>
      <w:r>
        <w:t>向目标质心</w:t>
      </w:r>
      <w:r>
        <w:t xml:space="preserve"> cj </w:t>
      </w:r>
      <w:r>
        <w:t>投射一条射线，且该射线在标称扫描距离</w:t>
      </w:r>
      <w:r>
        <w:t xml:space="preserve"> d0 </w:t>
      </w:r>
      <w:r>
        <w:t>范围内与另一个区域</w:t>
      </w:r>
      <w:r>
        <w:t xml:space="preserve"> Ti </w:t>
      </w:r>
      <w:r>
        <w:t>相交，则该视点被视为被遮挡：</w:t>
      </w:r>
      <w:r>
        <w:t xml:space="preserve"> </w:t>
      </w:r>
    </w:p>
    <w:p w:rsidR="00E1241E" w:rsidRPr="00E1241E" w:rsidRDefault="008330F3" w:rsidP="008330F3">
      <w:pPr>
        <w:pStyle w:val="afb"/>
      </w:pPr>
      <w:r w:rsidRPr="008330F3">
        <w:lastRenderedPageBreak/>
        <w:drawing>
          <wp:inline distT="0" distB="0" distL="0" distR="0" wp14:anchorId="254BA6D5" wp14:editId="556186A0">
            <wp:extent cx="6408420" cy="37147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8420" cy="371475"/>
                    </a:xfrm>
                    <a:prstGeom prst="rect">
                      <a:avLst/>
                    </a:prstGeom>
                  </pic:spPr>
                </pic:pic>
              </a:graphicData>
            </a:graphic>
          </wp:inline>
        </w:drawing>
      </w:r>
      <w:r w:rsidR="00E1241E" w:rsidRPr="00E1241E">
        <w:t xml:space="preserve"> </w:t>
      </w:r>
    </w:p>
    <w:p w:rsidR="00DC495E" w:rsidRDefault="00E1241E" w:rsidP="00FA4C95">
      <w:r w:rsidRPr="00E1241E">
        <w:t>对于被判定为被遮挡的视点，本节提出了一种基于局部扰动的恢复策略。如图</w:t>
      </w:r>
      <w:r w:rsidRPr="00E1241E">
        <w:t>8</w:t>
      </w:r>
      <w:r w:rsidRPr="00E1241E">
        <w:t>所示，在</w:t>
      </w:r>
      <w:r w:rsidRPr="00E1241E">
        <w:t>yj</w:t>
      </w:r>
      <w:r w:rsidRPr="00E1241E">
        <w:rPr>
          <w:rFonts w:eastAsia="Times New Roman" w:cs="Times New Roman" w:hint="eastAsia"/>
        </w:rPr>
        <w:t>􀀀</w:t>
      </w:r>
      <w:r w:rsidRPr="00E1241E">
        <w:t xml:space="preserve"> zj</w:t>
      </w:r>
      <w:r w:rsidRPr="00E1241E">
        <w:t>平面上构建一个局部扰动圆，其圆心为</w:t>
      </w:r>
      <w:r w:rsidRPr="00E1241E">
        <w:rPr>
          <w:i/>
          <w:iCs/>
        </w:rPr>
        <w:t>质心</w:t>
      </w:r>
      <w:r w:rsidRPr="00E1241E">
        <w:rPr>
          <w:i/>
          <w:iCs/>
        </w:rPr>
        <w:t>cj</w:t>
      </w:r>
      <w:r w:rsidRPr="00E1241E">
        <w:t>，半径为</w:t>
      </w:r>
      <w:r w:rsidRPr="00E1241E">
        <w:t>d0</w:t>
      </w:r>
      <w:r w:rsidRPr="00E1241E">
        <w:t>，且沿局部</w:t>
      </w:r>
      <w:r w:rsidRPr="00E1241E">
        <w:t>xj</w:t>
      </w:r>
      <w:r w:rsidRPr="00E1241E">
        <w:t>轴方向延伸。随后，以固定的</w:t>
      </w:r>
      <w:r w:rsidRPr="00E1241E">
        <w:rPr>
          <w:rFonts w:hint="eastAsia"/>
          <w:i/>
          <w:iCs/>
        </w:rPr>
        <w:t>步长</w:t>
      </w:r>
      <w:r w:rsidRPr="00E1241E">
        <w:t>Δδ</w:t>
      </w:r>
      <w:r w:rsidRPr="00E1241E">
        <w:t>在扰动圆上进行均匀采样，从而生成一组受扰动的候选</w:t>
      </w:r>
      <w:r w:rsidRPr="00E1241E">
        <w:t xml:space="preserve"> </w:t>
      </w:r>
      <w:r w:rsidRPr="00E1241E">
        <w:t>视点：</w:t>
      </w:r>
    </w:p>
    <w:p w:rsidR="00E1241E" w:rsidRDefault="008330F3" w:rsidP="008330F3">
      <w:pPr>
        <w:pStyle w:val="afb"/>
      </w:pPr>
      <w:r w:rsidRPr="008330F3">
        <w:drawing>
          <wp:inline distT="0" distB="0" distL="0" distR="0" wp14:anchorId="239425ED" wp14:editId="34001184">
            <wp:extent cx="6408420" cy="436880"/>
            <wp:effectExtent l="0" t="0" r="0" b="127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8420" cy="436880"/>
                    </a:xfrm>
                    <a:prstGeom prst="rect">
                      <a:avLst/>
                    </a:prstGeom>
                  </pic:spPr>
                </pic:pic>
              </a:graphicData>
            </a:graphic>
          </wp:inline>
        </w:drawing>
      </w:r>
      <w:r w:rsidR="00E1241E">
        <w:t xml:space="preserve"> </w:t>
      </w:r>
    </w:p>
    <w:p w:rsidR="00E1241E" w:rsidRDefault="00E1241E" w:rsidP="00FA4C95">
      <w:r>
        <w:t>其中</w:t>
      </w:r>
      <w:r>
        <w:t xml:space="preserve"> Rx(δ) </w:t>
      </w:r>
      <w:r>
        <w:t>表示绕</w:t>
      </w:r>
      <w:r>
        <w:t xml:space="preserve"> xj </w:t>
      </w:r>
      <w:r>
        <w:t>轴旋转角度</w:t>
      </w:r>
      <w:r>
        <w:t xml:space="preserve"> θ </w:t>
      </w:r>
      <w:r>
        <w:t>的旋转操作。扰动步长设为</w:t>
      </w:r>
      <w:r>
        <w:t xml:space="preserve"> Δδ=5◦</w:t>
      </w:r>
      <w:r>
        <w:t>，最大扰动角度为</w:t>
      </w:r>
      <w:r>
        <w:t xml:space="preserve"> δmax=90◦</w:t>
      </w:r>
      <w:r>
        <w:t>。对所有扰动后的视点依次进行可见性检查，满足无遮挡条件的视点被保留。</w:t>
      </w:r>
      <w:r>
        <w:t xml:space="preserve"> </w:t>
      </w:r>
      <w:r>
        <w:t>若存在多个有效的候选视点，则选择与原始视向角偏差最小的那个作为最终替代视点，从而确保姿态连续性。</w:t>
      </w:r>
      <w:r>
        <w:t xml:space="preserve"> </w:t>
      </w:r>
    </w:p>
    <w:p w:rsidR="00E1241E" w:rsidRDefault="00FA4C95" w:rsidP="00FA4C95">
      <w:pPr>
        <w:pStyle w:val="afb"/>
      </w:pPr>
      <w:r w:rsidRPr="00E1241E">
        <w:rPr>
          <w:noProof/>
        </w:rPr>
        <w:drawing>
          <wp:inline distT="0" distB="0" distL="0" distR="0" wp14:anchorId="614A6E2E" wp14:editId="7F71B66B">
            <wp:extent cx="2286000" cy="2145993"/>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95636" cy="2155038"/>
                    </a:xfrm>
                    <a:prstGeom prst="rect">
                      <a:avLst/>
                    </a:prstGeom>
                    <a:noFill/>
                    <a:ln>
                      <a:noFill/>
                    </a:ln>
                  </pic:spPr>
                </pic:pic>
              </a:graphicData>
            </a:graphic>
          </wp:inline>
        </w:drawing>
      </w:r>
    </w:p>
    <w:p w:rsidR="00E1241E" w:rsidRDefault="00E1241E" w:rsidP="00FA4C95">
      <w:pPr>
        <w:pStyle w:val="afb"/>
      </w:pPr>
      <w:r>
        <w:t>图</w:t>
      </w:r>
      <w:r>
        <w:t xml:space="preserve"> 8. </w:t>
      </w:r>
      <w:r>
        <w:t>用于处理遮挡的视点扰动原理。</w:t>
      </w:r>
    </w:p>
    <w:p w:rsidR="00E1241E" w:rsidRDefault="00E1241E" w:rsidP="00FA4C95">
      <w:r>
        <w:t>对于最终验证通过的扰动视点，将按照第</w:t>
      </w:r>
      <w:r>
        <w:t xml:space="preserve"> 3.3.1 </w:t>
      </w:r>
      <w:r>
        <w:t>节中的规则重建其方向，以确保与原始候选定义的一致性，从而保持轨迹的统一性和可执行性。如图</w:t>
      </w:r>
      <w:r>
        <w:t xml:space="preserve"> 9 </w:t>
      </w:r>
      <w:r>
        <w:t>所示，一些原本被遮挡的视点在扰动后被成功恢复。</w:t>
      </w:r>
    </w:p>
    <w:p w:rsidR="00E1241E" w:rsidRDefault="00FA4C95" w:rsidP="00FA4C95">
      <w:pPr>
        <w:pStyle w:val="afb"/>
      </w:pPr>
      <w:r>
        <w:rPr>
          <w:noProof/>
        </w:rPr>
        <w:drawing>
          <wp:inline distT="0" distB="0" distL="0" distR="0" wp14:anchorId="74568067" wp14:editId="3588D53F">
            <wp:extent cx="4223982" cy="1624083"/>
            <wp:effectExtent l="0" t="0" r="5715"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6" cstate="print"/>
                    <a:stretch>
                      <a:fillRect/>
                    </a:stretch>
                  </pic:blipFill>
                  <pic:spPr>
                    <a:xfrm>
                      <a:off x="0" y="0"/>
                      <a:ext cx="4231235" cy="1626872"/>
                    </a:xfrm>
                    <a:prstGeom prst="rect">
                      <a:avLst/>
                    </a:prstGeom>
                  </pic:spPr>
                </pic:pic>
              </a:graphicData>
            </a:graphic>
          </wp:inline>
        </w:drawing>
      </w:r>
    </w:p>
    <w:p w:rsidR="00E1241E" w:rsidRDefault="00E1241E" w:rsidP="00FA4C95">
      <w:pPr>
        <w:pStyle w:val="afb"/>
      </w:pPr>
      <w:r>
        <w:rPr>
          <w:b/>
          <w:w w:val="110"/>
        </w:rPr>
        <w:t>图</w:t>
      </w:r>
      <w:r>
        <w:rPr>
          <w:b/>
          <w:w w:val="110"/>
        </w:rPr>
        <w:t xml:space="preserve"> 9.</w:t>
      </w:r>
      <w:r>
        <w:rPr>
          <w:w w:val="110"/>
        </w:rPr>
        <w:t xml:space="preserve"> </w:t>
      </w:r>
      <w:r>
        <w:rPr>
          <w:w w:val="110"/>
        </w:rPr>
        <w:t>视点扰动</w:t>
      </w:r>
      <w:r>
        <w:rPr>
          <w:spacing w:val="18"/>
          <w:w w:val="110"/>
        </w:rPr>
        <w:t>结果</w:t>
      </w:r>
      <w:r>
        <w:rPr>
          <w:w w:val="110"/>
        </w:rPr>
        <w:t>的可视化</w:t>
      </w:r>
      <w:r>
        <w:rPr>
          <w:spacing w:val="-2"/>
          <w:w w:val="110"/>
        </w:rPr>
        <w:t>。</w:t>
      </w:r>
    </w:p>
    <w:p w:rsidR="00E1241E" w:rsidRDefault="00E1241E" w:rsidP="00FA4C95">
      <w:pPr>
        <w:pStyle w:val="2"/>
        <w:spacing w:after="156"/>
        <w:ind w:firstLine="562"/>
      </w:pPr>
      <w:r>
        <w:lastRenderedPageBreak/>
        <w:t xml:space="preserve">3.4. </w:t>
      </w:r>
      <w:r>
        <w:t>参数预实验</w:t>
      </w:r>
      <w:r>
        <w:t xml:space="preserve"> </w:t>
      </w:r>
    </w:p>
    <w:p w:rsidR="00E1241E" w:rsidRDefault="00E1241E" w:rsidP="00FA4C95">
      <w:pPr>
        <w:pStyle w:val="3"/>
        <w:spacing w:after="156"/>
        <w:ind w:firstLine="482"/>
      </w:pPr>
      <w:r>
        <w:t xml:space="preserve">3.4.1. </w:t>
      </w:r>
      <w:r>
        <w:t>精细视点规划方法</w:t>
      </w:r>
      <w:r>
        <w:t xml:space="preserve"> </w:t>
      </w:r>
    </w:p>
    <w:p w:rsidR="00E1241E" w:rsidRDefault="00E1241E" w:rsidP="00FA4C95">
      <w:r>
        <w:t>在叶盘等复杂结构的缺陷检测中，精细视点规划直接决定了覆盖质量和资源效率。传统的贪婪法或启发式方法过度依赖局部覆盖增益或距离排序，导致其难以适应遮挡变化和点云反馈，且容易陷入局部最优。</w:t>
      </w:r>
      <w:r>
        <w:t xml:space="preserve"> </w:t>
      </w:r>
      <w:r>
        <w:t>整数规划和图搜索方法虽能提供全局最优解，但计算成本高昂，且难以针对大规模候选集进行在线部署。强化学习通过与环境交互感知覆盖增益，并借助奖励信号优化长期目标，更适合此类动态且具有序列依赖性的问题。</w:t>
      </w:r>
      <w:r>
        <w:t xml:space="preserve"> </w:t>
      </w:r>
    </w:p>
    <w:p w:rsidR="00D836FE" w:rsidRDefault="00E1241E" w:rsidP="00FA4C95">
      <w:r>
        <w:t>本研究采用</w:t>
      </w:r>
      <w:r>
        <w:t xml:space="preserve"> PPO [38] </w:t>
      </w:r>
      <w:r>
        <w:t>进行视点选择，因其策略更新稳定、采样效率高，且适用于高维离散动作空间。</w:t>
      </w:r>
      <w:r>
        <w:t xml:space="preserve"> </w:t>
      </w:r>
      <w:r>
        <w:t>多叶片扫描任务被建模为一个马尔科夫决策过程（</w:t>
      </w:r>
      <w:r>
        <w:t>MDP</w:t>
      </w:r>
      <w:r>
        <w:t>）：状态</w:t>
      </w:r>
      <w:r>
        <w:t xml:space="preserve"> S </w:t>
      </w:r>
      <w:r>
        <w:t>编码当前覆盖体素、各叶片的覆盖进度以及候选视点属性；动作</w:t>
      </w:r>
      <w:r>
        <w:t xml:space="preserve"> A </w:t>
      </w:r>
      <w:r>
        <w:t>对应从剩余候选视点中选择下一个视点；奖励</w:t>
      </w:r>
      <w:r>
        <w:t xml:space="preserve"> R </w:t>
      </w:r>
      <w:r>
        <w:t>综合考虑单步覆盖增益、风险分布和路径平衡。该建模为策略学习提供了清晰的数学框架，使其能够在多约束场景下具备适应性和泛化能力。</w:t>
      </w:r>
      <w:r>
        <w:t xml:space="preserve"> </w:t>
      </w:r>
      <w:r>
        <w:t>图</w:t>
      </w:r>
      <w:r>
        <w:t xml:space="preserve"> 10 </w:t>
      </w:r>
      <w:r>
        <w:t>展示了本研究采用的强化学习训练模型。</w:t>
      </w:r>
      <w:r>
        <w:t xml:space="preserve"> </w:t>
      </w:r>
    </w:p>
    <w:p w:rsidR="00D836FE" w:rsidRDefault="00FA4C95" w:rsidP="00FA4C95">
      <w:pPr>
        <w:pStyle w:val="afb"/>
      </w:pPr>
      <w:r>
        <w:rPr>
          <w:noProof/>
        </w:rPr>
        <w:drawing>
          <wp:inline distT="0" distB="0" distL="0" distR="0" wp14:anchorId="34316782" wp14:editId="665CAB62">
            <wp:extent cx="5274310" cy="2117378"/>
            <wp:effectExtent l="0" t="0" r="254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7" cstate="print"/>
                    <a:stretch>
                      <a:fillRect/>
                    </a:stretch>
                  </pic:blipFill>
                  <pic:spPr>
                    <a:xfrm>
                      <a:off x="0" y="0"/>
                      <a:ext cx="5274310" cy="2117378"/>
                    </a:xfrm>
                    <a:prstGeom prst="rect">
                      <a:avLst/>
                    </a:prstGeom>
                  </pic:spPr>
                </pic:pic>
              </a:graphicData>
            </a:graphic>
          </wp:inline>
        </w:drawing>
      </w:r>
    </w:p>
    <w:p w:rsidR="00D836FE" w:rsidRDefault="00D836FE" w:rsidP="00FA4C95">
      <w:pPr>
        <w:pStyle w:val="afb"/>
      </w:pPr>
      <w:r>
        <w:t>图</w:t>
      </w:r>
      <w:r>
        <w:t xml:space="preserve"> 10. </w:t>
      </w:r>
      <w:r>
        <w:t>强化学习环境中的状态空间建模与奖励计算框架。</w:t>
      </w:r>
    </w:p>
    <w:p w:rsidR="00E1241E" w:rsidRDefault="00E1241E" w:rsidP="00FA4C95">
      <w:pPr>
        <w:pStyle w:val="3"/>
        <w:spacing w:after="156"/>
        <w:ind w:firstLine="482"/>
      </w:pPr>
      <w:r>
        <w:t xml:space="preserve">3.4.2. </w:t>
      </w:r>
      <w:r>
        <w:t>动作空间设计</w:t>
      </w:r>
      <w:r>
        <w:t xml:space="preserve"> </w:t>
      </w:r>
    </w:p>
    <w:p w:rsidR="00E1241E" w:rsidRDefault="00E1241E" w:rsidP="00FA4C95">
      <w:r>
        <w:t>在</w:t>
      </w:r>
      <w:r>
        <w:t>MDP</w:t>
      </w:r>
      <w:r>
        <w:t>框架下，动作空间</w:t>
      </w:r>
      <w:r>
        <w:t>A</w:t>
      </w:r>
      <w:r>
        <w:t>定义为从候选视点集中的索引选择。设候选集为</w:t>
      </w:r>
      <w:r>
        <w:t>V = {vi = (pi, qi, bi)}_(N+1), i=0</w:t>
      </w:r>
      <w:r>
        <w:t>，其中</w:t>
      </w:r>
      <w:r>
        <w:t>pi</w:t>
      </w:r>
      <w:r>
        <w:t>和</w:t>
      </w:r>
      <w:r>
        <w:t>qi</w:t>
      </w:r>
      <w:r>
        <w:t>分别表示视点</w:t>
      </w:r>
      <w:r>
        <w:t>vi</w:t>
      </w:r>
      <w:r>
        <w:t>的位置和方向，</w:t>
      </w:r>
      <w:r>
        <w:t>bi</w:t>
      </w:r>
      <w:r>
        <w:t>表示相关的叶片索引。时间步</w:t>
      </w:r>
      <w:r>
        <w:t>t</w:t>
      </w:r>
      <w:r>
        <w:t>处的有效动作集定义为：</w:t>
      </w:r>
      <w:r>
        <w:t xml:space="preserve"> </w:t>
      </w:r>
    </w:p>
    <w:p w:rsidR="00E1241E" w:rsidRDefault="008330F3" w:rsidP="008330F3">
      <w:pPr>
        <w:pStyle w:val="afb"/>
      </w:pPr>
      <w:r w:rsidRPr="008330F3">
        <w:drawing>
          <wp:inline distT="0" distB="0" distL="0" distR="0" wp14:anchorId="0C12157F" wp14:editId="5F7C5382">
            <wp:extent cx="6408420" cy="40386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8420" cy="403860"/>
                    </a:xfrm>
                    <a:prstGeom prst="rect">
                      <a:avLst/>
                    </a:prstGeom>
                  </pic:spPr>
                </pic:pic>
              </a:graphicData>
            </a:graphic>
          </wp:inline>
        </w:drawing>
      </w:r>
    </w:p>
    <w:p w:rsidR="00E1241E" w:rsidRDefault="00E1241E" w:rsidP="00FA4C95">
      <w:r>
        <w:t>其中</w:t>
      </w:r>
      <w:r>
        <w:t xml:space="preserve"> St </w:t>
      </w:r>
      <w:r>
        <w:t>表示已执行动作索引的集合，</w:t>
      </w:r>
      <w:r>
        <w:t xml:space="preserve">M(i)=1 </w:t>
      </w:r>
      <w:r>
        <w:t>表示该视点在逆运动学</w:t>
      </w:r>
      <w:r>
        <w:t xml:space="preserve"> (IK)</w:t>
      </w:r>
      <w:r>
        <w:t>、关节限位及无碰撞约束条件下是可行的；否则，该视点被视为无效。</w:t>
      </w:r>
      <w:r>
        <w:t xml:space="preserve"> </w:t>
      </w:r>
    </w:p>
    <w:p w:rsidR="00E1241E" w:rsidRDefault="00E1241E" w:rsidP="00FA4C95">
      <w:r>
        <w:t>为确保训练更新仅针对有效动作进行，采用了基于掩码的</w:t>
      </w:r>
      <w:r>
        <w:t xml:space="preserve"> Mask-PPO </w:t>
      </w:r>
      <w:r>
        <w:t>算法。</w:t>
      </w:r>
      <w:r>
        <w:t xml:space="preserve"> </w:t>
      </w:r>
    </w:p>
    <w:p w:rsidR="00E1241E" w:rsidRDefault="00E1241E" w:rsidP="00FA4C95">
      <w:r>
        <w:t xml:space="preserve">Mask-PPO </w:t>
      </w:r>
      <w:r>
        <w:t>是标准</w:t>
      </w:r>
      <w:r>
        <w:t xml:space="preserve"> PPO </w:t>
      </w:r>
      <w:r>
        <w:t>的可行性掩码变体，其中将动作掩码</w:t>
      </w:r>
      <w:r>
        <w:t xml:space="preserve"> m(a)</w:t>
      </w:r>
      <w:r>
        <w:rPr>
          <w:rFonts w:ascii="宋体" w:hAnsi="宋体" w:cs="宋体" w:hint="eastAsia"/>
        </w:rPr>
        <w:t>∈</w:t>
      </w:r>
      <w:r>
        <w:t xml:space="preserve">(0,1) </w:t>
      </w:r>
      <w:r>
        <w:t>应用于离散策略</w:t>
      </w:r>
      <w:r>
        <w:t xml:space="preserve"> </w:t>
      </w:r>
      <w:r>
        <w:rPr>
          <w:rFonts w:cs="Times New Roman"/>
        </w:rPr>
        <w:lastRenderedPageBreak/>
        <w:t>πθ</w:t>
      </w:r>
      <w:r>
        <w:t>(a|s)</w:t>
      </w:r>
      <w:r>
        <w:t>，然后针对可行动作进行重新归一化。除该掩码</w:t>
      </w:r>
      <w:r>
        <w:t>/</w:t>
      </w:r>
      <w:r>
        <w:t>重新归一化步骤外，行为者</w:t>
      </w:r>
      <w:r>
        <w:t>-</w:t>
      </w:r>
      <w:r>
        <w:t>批评者架构和</w:t>
      </w:r>
      <w:r>
        <w:t xml:space="preserve"> PPO </w:t>
      </w:r>
      <w:r>
        <w:t>截断目标函数保持不变。</w:t>
      </w:r>
      <w:r>
        <w:t xml:space="preserve"> </w:t>
      </w:r>
    </w:p>
    <w:p w:rsidR="00E1241E" w:rsidRDefault="00E1241E" w:rsidP="00FA4C95">
      <w:r>
        <w:t>在每个决策步骤中，无效动作的概率被设为零，策略分布在剩余的可行动作集上进行重归一：</w:t>
      </w:r>
      <w:r>
        <w:t xml:space="preserve"> </w:t>
      </w:r>
    </w:p>
    <w:p w:rsidR="00E1241E" w:rsidRDefault="002C017A" w:rsidP="002C017A">
      <w:pPr>
        <w:pStyle w:val="afb"/>
      </w:pPr>
      <w:r w:rsidRPr="002C017A">
        <w:drawing>
          <wp:inline distT="0" distB="0" distL="0" distR="0" wp14:anchorId="38D8A9B1" wp14:editId="697F657B">
            <wp:extent cx="6408420" cy="57277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8420" cy="572770"/>
                    </a:xfrm>
                    <a:prstGeom prst="rect">
                      <a:avLst/>
                    </a:prstGeom>
                  </pic:spPr>
                </pic:pic>
              </a:graphicData>
            </a:graphic>
          </wp:inline>
        </w:drawing>
      </w:r>
    </w:p>
    <w:p w:rsidR="00E1241E" w:rsidRDefault="00E1241E" w:rsidP="00FA4C95">
      <w:r>
        <w:t>其中</w:t>
      </w:r>
      <w:r>
        <w:t xml:space="preserve"> I[</w:t>
      </w:r>
      <w:r>
        <w:rPr>
          <w:rFonts w:ascii="Cambria Math" w:hAnsi="Cambria Math" w:cs="Cambria Math"/>
        </w:rPr>
        <w:t>⋅</w:t>
      </w:r>
      <w:r>
        <w:t xml:space="preserve">] </w:t>
      </w:r>
      <w:r>
        <w:t>表示指示函数。此外，为避免策略依赖于候选视角的索引顺序，在每个回合初始化时会随机重新排列索引，且在该回合内保持固定。因此，动作空间本质上是一个有限离散集；执行一个动作会直接更新覆盖率统计数据，并通过奖励函数反馈以引导策略优化。</w:t>
      </w:r>
      <w:r>
        <w:t xml:space="preserve"> </w:t>
      </w:r>
    </w:p>
    <w:p w:rsidR="00E1241E" w:rsidRDefault="00E1241E" w:rsidP="00FA4C95">
      <w:pPr>
        <w:pStyle w:val="3"/>
        <w:spacing w:after="156"/>
        <w:ind w:firstLine="482"/>
      </w:pPr>
      <w:r>
        <w:t xml:space="preserve">3.4.3. </w:t>
      </w:r>
      <w:r>
        <w:t>状态空间设计</w:t>
      </w:r>
      <w:r>
        <w:t xml:space="preserve"> </w:t>
      </w:r>
    </w:p>
    <w:p w:rsidR="00E1241E" w:rsidRDefault="00E1241E" w:rsidP="00FA4C95">
      <w:r>
        <w:t>为解决三维路径规划中常见的维度诅咒问题，我们提出了一种紧凑拓扑状态表示机制。与通常依赖高维原始图像或密集点云作为网络输入的一般视觉强化学习方法不同</w:t>
      </w:r>
      <w:r>
        <w:t>——</w:t>
      </w:r>
      <w:r>
        <w:t>这些方法往往会引入显著的环境冗余和视觉噪声，导致训练效率低下且难以收敛</w:t>
      </w:r>
      <w:r>
        <w:t>——</w:t>
      </w:r>
      <w:r>
        <w:t>我们将复杂的基板几何结构抽象为低维特征向量。</w:t>
      </w:r>
      <w:r>
        <w:t xml:space="preserve"> </w:t>
      </w:r>
      <w:r>
        <w:t>这种设计从根本上降低了</w:t>
      </w:r>
      <w:r>
        <w:t xml:space="preserve"> PPO </w:t>
      </w:r>
      <w:r>
        <w:t>算法的特征提取难度和计算复杂度，使智能体能够绕过低级感知障碍，直接捕捉高价值区域与路径成本之间的逻辑映射。</w:t>
      </w:r>
      <w:r>
        <w:t xml:space="preserve"> </w:t>
      </w:r>
    </w:p>
    <w:p w:rsidR="00D836FE" w:rsidRDefault="00E1241E" w:rsidP="00FA4C95">
      <w:r>
        <w:t>据此，我们构建了状态空间，为智能体提供任务进度、风险分布和动作价值的可观测表示</w:t>
      </w:r>
      <w:r w:rsidR="002D6E04">
        <w:t>。</w:t>
      </w:r>
      <w:r>
        <w:t>具体而言，状态特征分为三个层次：</w:t>
      </w:r>
      <w:r w:rsidR="002D6E04">
        <w:t>全局、局部和增量。</w:t>
      </w:r>
      <w:r w:rsidR="002D6E04">
        <w:t xml:space="preserve"> </w:t>
      </w:r>
    </w:p>
    <w:p w:rsidR="00D836FE" w:rsidRDefault="002D6E04" w:rsidP="00FA4C95">
      <w:r>
        <w:t>在全球尺度上，将参考点云定义为</w:t>
      </w:r>
      <w:r>
        <w:t xml:space="preserve"> P = { pj } (j = 1, ..., M)</w:t>
      </w:r>
      <w:r>
        <w:t>，其中</w:t>
      </w:r>
      <w:r>
        <w:t xml:space="preserve"> M </w:t>
      </w:r>
      <w:r>
        <w:t>表示通过从叶盘</w:t>
      </w:r>
      <w:r>
        <w:t xml:space="preserve"> CAD </w:t>
      </w:r>
      <w:r>
        <w:t>模型中对所有候选视点进行均匀采样和拼接所获得的参考点总数。</w:t>
      </w:r>
      <w:r>
        <w:t xml:space="preserve"> </w:t>
      </w:r>
      <w:r>
        <w:t>每个点</w:t>
      </w:r>
      <w:r>
        <w:t xml:space="preserve"> pj </w:t>
      </w:r>
      <w:r>
        <w:t>由</w:t>
      </w:r>
      <w:r>
        <w:t xml:space="preserve"> j=1,…,M </w:t>
      </w:r>
      <w:r>
        <w:t>索引，并标有二进制变量</w:t>
      </w:r>
      <w:r>
        <w:t xml:space="preserve"> </w:t>
      </w:r>
      <w:r>
        <w:rPr>
          <w:rFonts w:ascii="宋体" w:hAnsi="宋体" w:cs="宋体" w:hint="eastAsia"/>
        </w:rPr>
        <w:t>rtj∈</w:t>
      </w:r>
      <w:r>
        <w:t xml:space="preserve">{0,1} </w:t>
      </w:r>
      <w:r>
        <w:t>来指示其在时间步</w:t>
      </w:r>
      <w:r>
        <w:t xml:space="preserve"> t </w:t>
      </w:r>
      <w:r>
        <w:t>是否已被覆盖。基于此，可以定义两种类型的覆盖指标：</w:t>
      </w:r>
      <w:r>
        <w:t xml:space="preserve"> </w:t>
      </w:r>
    </w:p>
    <w:p w:rsidR="00D836FE" w:rsidRDefault="002C017A" w:rsidP="002C017A">
      <w:pPr>
        <w:pStyle w:val="afb"/>
      </w:pPr>
      <w:r w:rsidRPr="002C017A">
        <w:drawing>
          <wp:inline distT="0" distB="0" distL="0" distR="0" wp14:anchorId="5F3259E4" wp14:editId="357D8243">
            <wp:extent cx="6408420" cy="147129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8420" cy="1471295"/>
                    </a:xfrm>
                    <a:prstGeom prst="rect">
                      <a:avLst/>
                    </a:prstGeom>
                  </pic:spPr>
                </pic:pic>
              </a:graphicData>
            </a:graphic>
          </wp:inline>
        </w:drawing>
      </w:r>
      <w:r w:rsidR="002D6E04">
        <w:t xml:space="preserve"> </w:t>
      </w:r>
    </w:p>
    <w:p w:rsidR="00D836FE" w:rsidRDefault="002D6E04" w:rsidP="00FA4C95">
      <w:r>
        <w:t>其中</w:t>
      </w:r>
      <w:r>
        <w:t xml:space="preserve"> Ct </w:t>
      </w:r>
      <w:r>
        <w:t>反映整体扫描进度，即已被观测到的所有参考点的比例；而</w:t>
      </w:r>
      <w:r>
        <w:t xml:space="preserve"> Cφ t </w:t>
      </w:r>
      <w:r>
        <w:t>在此基础上引入了风险权重</w:t>
      </w:r>
      <w:r>
        <w:t xml:space="preserve"> φ</w:t>
      </w:r>
      <w:r>
        <w:t>，强调对缺陷敏感区域的优先覆盖。</w:t>
      </w:r>
      <w:r>
        <w:t xml:space="preserve"> </w:t>
      </w:r>
      <w:r>
        <w:t>前者对全局任务完成度进行了客观量化，而后者则体现了覆盖质量与检测可靠性之间的综合权衡。通过将</w:t>
      </w:r>
      <w:r>
        <w:t xml:space="preserve"> Ct </w:t>
      </w:r>
      <w:r>
        <w:t>和</w:t>
      </w:r>
      <w:r>
        <w:t xml:space="preserve"> Cφ t </w:t>
      </w:r>
      <w:r>
        <w:t>均设为可观测状态变量，该策略能够区分那些产生相似几何覆盖率但对缺陷敏感区域贡献不同的候选动作，而非依赖延迟的奖励信号来推断此类优先级。</w:t>
      </w:r>
      <w:r>
        <w:t xml:space="preserve"> </w:t>
      </w:r>
    </w:p>
    <w:p w:rsidR="00D836FE" w:rsidRDefault="002D6E04" w:rsidP="00FA4C95">
      <w:r>
        <w:t>此外，为揭示叶片之间的检测差异，假设叶盘包含</w:t>
      </w:r>
      <w:r>
        <w:t xml:space="preserve"> Nb=27 </w:t>
      </w:r>
      <w:r>
        <w:t>片叶片。叶片</w:t>
      </w:r>
      <w:r>
        <w:t xml:space="preserve"> k </w:t>
      </w:r>
      <w:r>
        <w:t>的参考点集记为</w:t>
      </w:r>
      <w:r>
        <w:t xml:space="preserve"> P(k)</w:t>
      </w:r>
      <w:r>
        <w:rPr>
          <w:rFonts w:ascii="Cambria Math" w:hAnsi="Cambria Math" w:cs="Cambria Math"/>
        </w:rPr>
        <w:t>⊂</w:t>
      </w:r>
      <w:r>
        <w:t>P</w:t>
      </w:r>
      <w:r>
        <w:t>，其基数为</w:t>
      </w:r>
      <w:r>
        <w:t xml:space="preserve"> |P(k)|</w:t>
      </w:r>
      <w:r>
        <w:t>。其覆盖率定义为：</w:t>
      </w:r>
      <w:r>
        <w:t xml:space="preserve"> </w:t>
      </w:r>
    </w:p>
    <w:p w:rsidR="00D836FE" w:rsidRDefault="002C017A" w:rsidP="002C017A">
      <w:pPr>
        <w:pStyle w:val="afb"/>
      </w:pPr>
      <w:r w:rsidRPr="002C017A">
        <w:lastRenderedPageBreak/>
        <w:drawing>
          <wp:inline distT="0" distB="0" distL="0" distR="0" wp14:anchorId="694ABB54" wp14:editId="2913B9A2">
            <wp:extent cx="6408420" cy="666115"/>
            <wp:effectExtent l="0" t="0" r="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8420" cy="666115"/>
                    </a:xfrm>
                    <a:prstGeom prst="rect">
                      <a:avLst/>
                    </a:prstGeom>
                  </pic:spPr>
                </pic:pic>
              </a:graphicData>
            </a:graphic>
          </wp:inline>
        </w:drawing>
      </w:r>
      <w:r w:rsidR="002D6E04">
        <w:t xml:space="preserve"> </w:t>
      </w:r>
    </w:p>
    <w:p w:rsidR="00D836FE" w:rsidRDefault="002D6E04" w:rsidP="00FA4C95">
      <w:r>
        <w:t>在此基础上，叶片级覆盖向量定义为</w:t>
      </w:r>
      <w:r>
        <w:t xml:space="preserve"> gt = [C(1)t, C(2)t, </w:t>
      </w:r>
      <w:r>
        <w:rPr>
          <w:rFonts w:cs="Times New Roman"/>
        </w:rPr>
        <w:t>…</w:t>
      </w:r>
      <w:r>
        <w:t>, C(Nb)t]</w:t>
      </w:r>
      <w:r>
        <w:t>。该向量为智能体提供了叶片层面的精细进度感知，使策略能够识别检查不足的叶片并更合理地分配行动。</w:t>
      </w:r>
      <w:r>
        <w:t xml:space="preserve"> </w:t>
      </w:r>
      <w:r>
        <w:t>这在多叶片检测中尤为重要，因为不同叶片的几何复杂度和遮挡情况可能各不相同，而单一的全局指标可能会掩盖覆盖不足的叶片。同时，对应于候选视点的叶片索引被编码为一个</w:t>
      </w:r>
      <w:r>
        <w:t>one-hot</w:t>
      </w:r>
      <w:r>
        <w:t>向量</w:t>
      </w:r>
      <w:r>
        <w:t xml:space="preserve"> bi</w:t>
      </w:r>
      <w:r>
        <w:t>，并补充了该叶片当前的覆盖情况。此类信息使策略能够避免盲目分配操作，而是</w:t>
      </w:r>
      <w:r w:rsidR="00D836FE">
        <w:t>通过结合局部状态特征，有针对性地</w:t>
      </w:r>
      <w:r>
        <w:t>补偿</w:t>
      </w:r>
      <w:r w:rsidR="00D836FE">
        <w:t>覆盖不足的区域。</w:t>
      </w:r>
      <w:r w:rsidR="00D836FE">
        <w:t xml:space="preserve"> </w:t>
      </w:r>
      <w:r w:rsidR="00D836FE">
        <w:t>状态空间的核心还在于描述若选择当前候选视点时所期望的结果。设</w:t>
      </w:r>
      <w:r w:rsidR="00D836FE">
        <w:t xml:space="preserve"> </w:t>
      </w:r>
      <w:r w:rsidR="00D836FE">
        <w:rPr>
          <w:rFonts w:ascii="宋体" w:hAnsi="宋体" w:cs="宋体" w:hint="eastAsia"/>
        </w:rPr>
        <w:t>mi∈</w:t>
      </w:r>
      <w:r w:rsidR="00D836FE">
        <w:t xml:space="preserve">{0,1}M </w:t>
      </w:r>
      <w:r w:rsidR="00D836FE">
        <w:t>表示视点</w:t>
      </w:r>
      <w:r w:rsidR="00D836FE">
        <w:t xml:space="preserve"> vj </w:t>
      </w:r>
      <w:r w:rsidR="00D836FE">
        <w:t>的可见性掩码，</w:t>
      </w:r>
      <w:r w:rsidR="00D836FE">
        <w:t xml:space="preserve">u=1 rt </w:t>
      </w:r>
      <w:r w:rsidR="00D836FE">
        <w:t>表示在时间步</w:t>
      </w:r>
      <w:r w:rsidR="00D836FE">
        <w:t xml:space="preserve"> t </w:t>
      </w:r>
      <w:r w:rsidR="00D836FE">
        <w:t>仍未被覆盖的点集。则覆盖增益定义为：</w:t>
      </w:r>
      <w:r w:rsidR="00D836FE">
        <w:t xml:space="preserve"> </w:t>
      </w:r>
    </w:p>
    <w:p w:rsidR="00D836FE" w:rsidRDefault="002C017A" w:rsidP="002C017A">
      <w:pPr>
        <w:pStyle w:val="afb"/>
      </w:pPr>
      <w:r w:rsidRPr="002C017A">
        <w:drawing>
          <wp:inline distT="0" distB="0" distL="0" distR="0" wp14:anchorId="38BA40C2" wp14:editId="0FA9A3A8">
            <wp:extent cx="6408420" cy="565150"/>
            <wp:effectExtent l="0" t="0" r="0" b="635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8420" cy="565150"/>
                    </a:xfrm>
                    <a:prstGeom prst="rect">
                      <a:avLst/>
                    </a:prstGeom>
                  </pic:spPr>
                </pic:pic>
              </a:graphicData>
            </a:graphic>
          </wp:inline>
        </w:drawing>
      </w:r>
    </w:p>
    <w:p w:rsidR="00D836FE" w:rsidRDefault="00D836FE" w:rsidP="00FA4C95">
      <w:r>
        <w:t>与全局特征相比，这一部分反映了边际增益，即如果采取该动作，会有多少关键区域的状态发生变化。将</w:t>
      </w:r>
      <w:r>
        <w:t>ΔCi</w:t>
      </w:r>
      <w:r>
        <w:t>显式建模为增量状态特征，有助于降低长时域规划中的功劳归因难度，因为策略可以直接观察到每个选定视点的即时边际效应。</w:t>
      </w:r>
      <w:r>
        <w:t xml:space="preserve"> </w:t>
      </w:r>
      <w:r>
        <w:t>同时，引入路径成本项</w:t>
      </w:r>
      <w:r>
        <w:t xml:space="preserve"> pi =</w:t>
      </w:r>
      <w:r>
        <w:rPr>
          <w:rFonts w:ascii="Cambria Math" w:hAnsi="Cambria Math" w:cs="Cambria Math"/>
        </w:rPr>
        <w:t xml:space="preserve"> ⃦ ⃦</w:t>
      </w:r>
      <w:r>
        <w:t xml:space="preserve"> </w:t>
      </w:r>
      <w:r>
        <w:rPr>
          <w:rFonts w:ascii="Cambria Math" w:hAnsi="Cambria Math" w:cs="Cambria Math"/>
        </w:rPr>
        <w:t>⃦</w:t>
      </w:r>
      <w:r>
        <w:t>pi pprev</w:t>
      </w:r>
      <w:r>
        <w:rPr>
          <w:rFonts w:ascii="Cambria Math" w:hAnsi="Cambria Math" w:cs="Cambria Math"/>
        </w:rPr>
        <w:t xml:space="preserve"> ⃦ ⃦ ⃦</w:t>
      </w:r>
      <w:r>
        <w:t xml:space="preserve"> 2</w:t>
      </w:r>
      <w:r>
        <w:t>，其中</w:t>
      </w:r>
      <w:r>
        <w:t xml:space="preserve"> fglobal </w:t>
      </w:r>
      <w:r>
        <w:t>表示对应于前一次动作的视点位置。该项约束了连续动作之间的物理连续性，防止策略仅关注覆盖效率而忽视机械手的执行成本。</w:t>
      </w:r>
      <w:r>
        <w:t xml:space="preserve"> </w:t>
      </w:r>
    </w:p>
    <w:p w:rsidR="00D836FE" w:rsidRDefault="00D836FE" w:rsidP="00FA4C95">
      <w:r>
        <w:t>最后，状态向量组织为</w:t>
      </w:r>
      <w:r>
        <w:t xml:space="preserve"> xt = [fglobal, flocal, fincrement]</w:t>
      </w:r>
      <w:r>
        <w:t>，其中</w:t>
      </w:r>
      <w:r>
        <w:t xml:space="preserve"> fglobal </w:t>
      </w:r>
      <w:r>
        <w:t>反映整体检查进度和风险分布，</w:t>
      </w:r>
      <w:r>
        <w:t xml:space="preserve">flocal </w:t>
      </w:r>
      <w:r>
        <w:t>捕获候选叶片的局部检查状态，</w:t>
      </w:r>
      <w:r>
        <w:t xml:space="preserve">fincrement </w:t>
      </w:r>
      <w:r>
        <w:t>表示选择该视角的增量收益和成本。这种建模方式确保代理在决策时既不会忽视局部细节，也不会偏离全局目标。</w:t>
      </w:r>
      <w:r>
        <w:t xml:space="preserve"> </w:t>
      </w:r>
    </w:p>
    <w:p w:rsidR="00D836FE" w:rsidRDefault="00D836FE" w:rsidP="00FA4C95">
      <w:pPr>
        <w:pStyle w:val="3"/>
        <w:spacing w:after="156"/>
        <w:ind w:firstLine="482"/>
      </w:pPr>
      <w:r>
        <w:t xml:space="preserve">3.4.4. </w:t>
      </w:r>
      <w:r>
        <w:t>奖励函数设计</w:t>
      </w:r>
      <w:r>
        <w:t xml:space="preserve"> </w:t>
      </w:r>
    </w:p>
    <w:p w:rsidR="00D836FE" w:rsidRDefault="00D836FE" w:rsidP="00FA4C95">
      <w:r>
        <w:t>在多叶片叶盘的</w:t>
      </w:r>
      <w:r>
        <w:t xml:space="preserve"> 3D </w:t>
      </w:r>
      <w:r>
        <w:t>检测任务中，强化学习策略必须在有限的动作步数内实现高覆盖率，同时优先处理高风险区域、确保跨叶片平衡并维持路径可行性。</w:t>
      </w:r>
      <w:r>
        <w:t xml:space="preserve"> </w:t>
      </w:r>
      <w:r>
        <w:t>为此，设计了一个多目标奖励函数，该函数整合了覆盖率驱动、风险调控、平衡约束和路径约束等项，以引导策略在效率与稳定性之间寻求权衡。</w:t>
      </w:r>
      <w:r>
        <w:t xml:space="preserve"> </w:t>
      </w:r>
    </w:p>
    <w:p w:rsidR="00D836FE" w:rsidRDefault="00D836FE" w:rsidP="00FA4C95">
      <w:r>
        <w:t>首先，将覆盖增益定义为最直接的优化目标：</w:t>
      </w:r>
      <w:r>
        <w:t xml:space="preserve"> </w:t>
      </w:r>
    </w:p>
    <w:p w:rsidR="002D6E04" w:rsidRDefault="002C017A" w:rsidP="002C017A">
      <w:pPr>
        <w:pStyle w:val="afb"/>
      </w:pPr>
      <w:r>
        <w:t xml:space="preserve"> </w:t>
      </w:r>
      <w:r w:rsidRPr="002C017A">
        <w:drawing>
          <wp:inline distT="0" distB="0" distL="0" distR="0" wp14:anchorId="73F21796" wp14:editId="5D0993D9">
            <wp:extent cx="6408420" cy="103568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8420" cy="1035685"/>
                    </a:xfrm>
                    <a:prstGeom prst="rect">
                      <a:avLst/>
                    </a:prstGeom>
                  </pic:spPr>
                </pic:pic>
              </a:graphicData>
            </a:graphic>
          </wp:inline>
        </w:drawing>
      </w:r>
    </w:p>
    <w:p w:rsidR="00D836FE" w:rsidRDefault="00D836FE" w:rsidP="00FA4C95">
      <w:r>
        <w:t>其中，</w:t>
      </w:r>
      <w:r>
        <w:t xml:space="preserve">ΔCt </w:t>
      </w:r>
      <w:r>
        <w:t>表示第</w:t>
      </w:r>
      <w:r>
        <w:t xml:space="preserve"> t </w:t>
      </w:r>
      <w:r>
        <w:t>步的覆盖增益，</w:t>
      </w:r>
      <w:r>
        <w:t xml:space="preserve">ω(φ) </w:t>
      </w:r>
      <w:r>
        <w:t>是由风险水平</w:t>
      </w:r>
      <w:r>
        <w:t xml:space="preserve"> φ </w:t>
      </w:r>
      <w:r>
        <w:t>决定的风险权重，</w:t>
      </w:r>
      <w:r>
        <w:t xml:space="preserve">α=10 </w:t>
      </w:r>
      <w:r>
        <w:t>是一个</w:t>
      </w:r>
      <w:r>
        <w:lastRenderedPageBreak/>
        <w:t>放大因子，用于突出微小覆盖增益的重要性。该项确保高风险边和曲率过渡区域在规划过程中获得更高的优先级。</w:t>
      </w:r>
      <w:r>
        <w:t xml:space="preserve"> </w:t>
      </w:r>
    </w:p>
    <w:p w:rsidR="00D836FE" w:rsidRDefault="00D836FE" w:rsidP="00FA4C95">
      <w:r>
        <w:t>接下来，为防止覆盖度集中于少数叶片从而导致整体失衡，引入了基于熵概念的平衡奖励：</w:t>
      </w:r>
      <w:r>
        <w:t xml:space="preserve"> </w:t>
      </w:r>
    </w:p>
    <w:p w:rsidR="00D836FE" w:rsidRDefault="002C017A" w:rsidP="002C017A">
      <w:pPr>
        <w:pStyle w:val="afb"/>
      </w:pPr>
      <w:r w:rsidRPr="002C017A">
        <w:drawing>
          <wp:inline distT="0" distB="0" distL="0" distR="0" wp14:anchorId="647C5459" wp14:editId="2D508834">
            <wp:extent cx="6408420" cy="2073910"/>
            <wp:effectExtent l="0" t="0" r="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8420" cy="2073910"/>
                    </a:xfrm>
                    <a:prstGeom prst="rect">
                      <a:avLst/>
                    </a:prstGeom>
                  </pic:spPr>
                </pic:pic>
              </a:graphicData>
            </a:graphic>
          </wp:inline>
        </w:drawing>
      </w:r>
      <w:r w:rsidR="00D836FE">
        <w:t xml:space="preserve"> </w:t>
      </w:r>
    </w:p>
    <w:p w:rsidR="00D836FE" w:rsidRDefault="00D836FE" w:rsidP="00FA4C95">
      <w:r>
        <w:t>其中</w:t>
      </w:r>
      <w:r>
        <w:t xml:space="preserve"> ci </w:t>
      </w:r>
      <w:r>
        <w:t>表示叶片</w:t>
      </w:r>
      <w:r>
        <w:t xml:space="preserve"> i </w:t>
      </w:r>
      <w:r>
        <w:t>的覆盖率，</w:t>
      </w:r>
      <w:r>
        <w:t xml:space="preserve">β=0.5 </w:t>
      </w:r>
      <w:r>
        <w:t>是权重系数。当覆盖率越均匀时，该项的值越高，从而促使策略在各叶片间实现均衡覆盖。</w:t>
      </w:r>
    </w:p>
    <w:p w:rsidR="00D836FE" w:rsidRDefault="00D836FE" w:rsidP="00FA4C95">
      <w:r>
        <w:t>此外，为了促使采样不足的叶片更快达到目标阈值，引入了一个基于目标覆盖阈值的惩罚项：</w:t>
      </w:r>
      <w:r>
        <w:t xml:space="preserve"> </w:t>
      </w:r>
    </w:p>
    <w:p w:rsidR="00D836FE" w:rsidRDefault="002C017A" w:rsidP="002C017A">
      <w:pPr>
        <w:pStyle w:val="afb"/>
      </w:pPr>
      <w:r w:rsidRPr="002C017A">
        <w:drawing>
          <wp:inline distT="0" distB="0" distL="0" distR="0" wp14:anchorId="4D75EA61" wp14:editId="3C5864A6">
            <wp:extent cx="6408420" cy="57848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8420" cy="578485"/>
                    </a:xfrm>
                    <a:prstGeom prst="rect">
                      <a:avLst/>
                    </a:prstGeom>
                  </pic:spPr>
                </pic:pic>
              </a:graphicData>
            </a:graphic>
          </wp:inline>
        </w:drawing>
      </w:r>
    </w:p>
    <w:p w:rsidR="00D836FE" w:rsidRDefault="00D836FE" w:rsidP="00FA4C95">
      <w:r>
        <w:t>其中</w:t>
      </w:r>
      <w:r>
        <w:t xml:space="preserve"> τ=0.95 </w:t>
      </w:r>
      <w:r>
        <w:t>是目标覆盖阈值，</w:t>
      </w:r>
      <w:r>
        <w:t xml:space="preserve">ci </w:t>
      </w:r>
      <w:r>
        <w:t>表示叶片</w:t>
      </w:r>
      <w:r>
        <w:t xml:space="preserve"> i </w:t>
      </w:r>
      <w:r>
        <w:t>的当前覆盖率，</w:t>
      </w:r>
      <w:r>
        <w:t xml:space="preserve">γ=0.2 </w:t>
      </w:r>
      <w:r>
        <w:t>是权重因子。当某叶片的覆盖率低于阈值时，平均缺口会产生负奖励，从而引导策略向检查不足的叶片倾斜。</w:t>
      </w:r>
      <w:r>
        <w:t xml:space="preserve"> </w:t>
      </w:r>
    </w:p>
    <w:p w:rsidR="00D836FE" w:rsidRDefault="00D836FE" w:rsidP="00FA4C95">
      <w:r>
        <w:t>在路径层面，为减少长距离转换造成的额外成本，引入了路径</w:t>
      </w:r>
      <w:r>
        <w:t xml:space="preserve"> </w:t>
      </w:r>
      <w:r>
        <w:t>优化项：</w:t>
      </w:r>
    </w:p>
    <w:p w:rsidR="00D836FE" w:rsidRDefault="002C017A" w:rsidP="002C017A">
      <w:pPr>
        <w:pStyle w:val="afb"/>
      </w:pPr>
      <w:r w:rsidRPr="002C017A">
        <w:drawing>
          <wp:inline distT="0" distB="0" distL="0" distR="0" wp14:anchorId="04FE7FF3" wp14:editId="43F638CF">
            <wp:extent cx="6408420" cy="395605"/>
            <wp:effectExtent l="0" t="0" r="0" b="44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8420" cy="395605"/>
                    </a:xfrm>
                    <a:prstGeom prst="rect">
                      <a:avLst/>
                    </a:prstGeom>
                  </pic:spPr>
                </pic:pic>
              </a:graphicData>
            </a:graphic>
          </wp:inline>
        </w:drawing>
      </w:r>
    </w:p>
    <w:p w:rsidR="00D836FE" w:rsidRDefault="00D836FE" w:rsidP="00FA4C95">
      <w:r>
        <w:t>其中</w:t>
      </w:r>
      <w:r>
        <w:t xml:space="preserve"> Lt </w:t>
      </w:r>
      <w:r>
        <w:t>表示截至当前步骤的累计路径长度，</w:t>
      </w:r>
      <w:r>
        <w:t xml:space="preserve">η=0.1 </w:t>
      </w:r>
      <w:r>
        <w:t>是路径成本的权重因子。该项确保策略在保持覆盖效率的同时，优先选择更紧凑的轨迹，从而降低能耗和执行复杂度。</w:t>
      </w:r>
      <w:r>
        <w:t xml:space="preserve"> </w:t>
      </w:r>
    </w:p>
    <w:p w:rsidR="00D836FE" w:rsidRDefault="00D836FE" w:rsidP="00FA4C95">
      <w:r>
        <w:t>此外，每次动作都会产生固定成本</w:t>
      </w:r>
      <w:r>
        <w:t xml:space="preserve"> Rstep=0.2</w:t>
      </w:r>
      <w:r>
        <w:t>，用于限制路径长度并防止冗余扫描。最后，奖励函数可表示为：</w:t>
      </w:r>
      <w:r>
        <w:t xml:space="preserve"> </w:t>
      </w:r>
    </w:p>
    <w:p w:rsidR="00D836FE" w:rsidRDefault="002C017A" w:rsidP="002C017A">
      <w:pPr>
        <w:pStyle w:val="afb"/>
      </w:pPr>
      <w:r w:rsidRPr="002C017A">
        <w:drawing>
          <wp:inline distT="0" distB="0" distL="0" distR="0" wp14:anchorId="442023A0" wp14:editId="68424387">
            <wp:extent cx="6408420" cy="372745"/>
            <wp:effectExtent l="0" t="0" r="0" b="825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8420" cy="372745"/>
                    </a:xfrm>
                    <a:prstGeom prst="rect">
                      <a:avLst/>
                    </a:prstGeom>
                  </pic:spPr>
                </pic:pic>
              </a:graphicData>
            </a:graphic>
          </wp:inline>
        </w:drawing>
      </w:r>
      <w:r w:rsidR="00D836FE">
        <w:t xml:space="preserve"> </w:t>
      </w:r>
    </w:p>
    <w:p w:rsidR="00D836FE" w:rsidRDefault="00D836FE" w:rsidP="00FA4C95">
      <w:r>
        <w:t>关键在于，这种奖励结构强制实施了以结果为导向的权衡，仅当加权覆盖增益大于步长成本时，才激励视点选择。因此，视点数量的减少成为一种自然的优化结果，在确保检查完整性的同时实现了高效率。</w:t>
      </w:r>
      <w:r>
        <w:t xml:space="preserve"> </w:t>
      </w:r>
    </w:p>
    <w:p w:rsidR="00D836FE" w:rsidRDefault="00D836FE" w:rsidP="00FA4C95">
      <w:pPr>
        <w:pStyle w:val="3"/>
        <w:spacing w:after="156"/>
        <w:ind w:firstLine="482"/>
      </w:pPr>
      <w:r>
        <w:lastRenderedPageBreak/>
        <w:t xml:space="preserve">3.4.5. Sim2Real </w:t>
      </w:r>
    </w:p>
    <w:p w:rsidR="004B751D" w:rsidRDefault="00D836FE" w:rsidP="00FA4C95">
      <w:r>
        <w:t>为了将仿真结果有效转换到真实机器人上，</w:t>
      </w:r>
      <w:r>
        <w:t xml:space="preserve">CoppeliaSim </w:t>
      </w:r>
      <w:r>
        <w:t>环境中的每个规划视点均通过反向运动学（</w:t>
      </w:r>
      <w:r>
        <w:t>IK</w:t>
      </w:r>
      <w:r>
        <w:t>）求解，以获得机械臂的六个关节角度</w:t>
      </w:r>
      <w:r>
        <w:t xml:space="preserve"> q=[q1,q2,…,q6]T</w:t>
      </w:r>
      <w:r>
        <w:t>，并将这些角度作为映射表离线存储。在物理平台上，这些关节角度直接输入到机器人控制器中以供执行，从而使机械臂能够依次到达每个规划视点以进行数据采集。</w:t>
      </w:r>
    </w:p>
    <w:p w:rsidR="00A11189" w:rsidRPr="00A11189" w:rsidRDefault="00A11189" w:rsidP="00FA4C95">
      <w:pPr>
        <w:pStyle w:val="1"/>
      </w:pPr>
      <w:r w:rsidRPr="00A11189">
        <w:t>4.</w:t>
      </w:r>
      <w:r w:rsidR="00D836FE" w:rsidRPr="00A11189">
        <w:t xml:space="preserve">HYPERLINK “SPS:id::Sec6” HYPERLINK “SPS:id::Sec7” </w:t>
      </w:r>
      <w:r w:rsidR="00D836FE" w:rsidRPr="00A11189">
        <w:rPr>
          <w:rFonts w:ascii="微软雅黑" w:eastAsia="微软雅黑" w:hAnsi="微软雅黑" w:cs="微软雅黑" w:hint="eastAsia"/>
        </w:rPr>
        <w:t>实验结果与讨论</w:t>
      </w:r>
      <w:r w:rsidR="00D836FE" w:rsidRPr="00A11189">
        <w:t xml:space="preserve"> </w:t>
      </w:r>
    </w:p>
    <w:p w:rsidR="00A11189" w:rsidRDefault="00D836FE" w:rsidP="00FA4C95">
      <w:r>
        <w:t>本研究中的所有实验均在相同的软硬件平台上进行，以确保结果的可比性和可重复性。</w:t>
      </w:r>
      <w:r>
        <w:t xml:space="preserve"> </w:t>
      </w:r>
      <w:r>
        <w:t>硬件环境包括一台配备英特尔酷睿</w:t>
      </w:r>
      <w:r>
        <w:t xml:space="preserve"> i5-12600KF </w:t>
      </w:r>
      <w:r>
        <w:t>处理器、</w:t>
      </w:r>
      <w:r>
        <w:t xml:space="preserve">32 GB </w:t>
      </w:r>
      <w:r>
        <w:t>内存和</w:t>
      </w:r>
      <w:r>
        <w:t xml:space="preserve"> NVIDIA GeForce RTX 4060 </w:t>
      </w:r>
      <w:r>
        <w:t>图形处理单元的计算机，运行</w:t>
      </w:r>
      <w:r>
        <w:t xml:space="preserve"> Ubuntu 20.04 LTS </w:t>
      </w:r>
      <w:r>
        <w:t>操作系统。仿真平台采用专为强化学习训练构建的</w:t>
      </w:r>
      <w:r>
        <w:t xml:space="preserve"> CoppeliaSim </w:t>
      </w:r>
      <w:r>
        <w:t>环境实现。对于现场测试，结构光采集系统的参数如表</w:t>
      </w:r>
      <w:r>
        <w:t xml:space="preserve"> 2 </w:t>
      </w:r>
      <w:r>
        <w:t>所示。</w:t>
      </w:r>
      <w:r>
        <w:t xml:space="preserve"> </w:t>
      </w:r>
    </w:p>
    <w:p w:rsidR="00A11189" w:rsidRDefault="00A11189" w:rsidP="00FA4C95">
      <w:pPr>
        <w:pStyle w:val="afb"/>
      </w:pPr>
      <w:r w:rsidRPr="00A11189">
        <w:rPr>
          <w:noProof/>
        </w:rPr>
        <w:drawing>
          <wp:inline distT="0" distB="0" distL="0" distR="0" wp14:anchorId="4E4A5B60" wp14:editId="0EB44AF0">
            <wp:extent cx="3978234" cy="1555320"/>
            <wp:effectExtent l="0" t="0" r="381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82988" cy="1557178"/>
                    </a:xfrm>
                    <a:prstGeom prst="rect">
                      <a:avLst/>
                    </a:prstGeom>
                  </pic:spPr>
                </pic:pic>
              </a:graphicData>
            </a:graphic>
          </wp:inline>
        </w:drawing>
      </w:r>
    </w:p>
    <w:p w:rsidR="00A11189" w:rsidRDefault="00D836FE" w:rsidP="00FA4C95">
      <w:r>
        <w:t>为确保公平性，所有方法均在相同的实验协议下进行评估。具体而言，所有基线方法均采用相同的粗规划候选项集，并采用相同的机械臂可达性检查和遮挡约束。基于该固定的候选项集，每种方法均根据自身标准依次选择视点，同时利用预先计算的可见性掩膜评估覆盖增益和停止条件。</w:t>
      </w:r>
      <w:r>
        <w:t xml:space="preserve"> </w:t>
      </w:r>
      <w:r>
        <w:t>在迭代过程中，通过可见性掩膜的布尔并集更新覆盖区域，直至达到目标覆盖阈值（</w:t>
      </w:r>
      <w:r>
        <w:t>C ≥95%</w:t>
      </w:r>
      <w:r>
        <w:t>）或视点配额耗尽为止。</w:t>
      </w:r>
      <w:r>
        <w:t xml:space="preserve"> </w:t>
      </w:r>
    </w:p>
    <w:p w:rsidR="00A11189" w:rsidRDefault="00D836FE" w:rsidP="00FA4C95">
      <w:r>
        <w:t>为了在固定的覆盖率要求下进行定量比较，我们记录了所选视点的数量、累计路径长度、重建误差以及选择阶段的运行时间（不包括可见性掩膜的预计算）。在误差评估之前，最终重建的点云被下采样以匹配标准参考点云的分辨率。每个算法使用不同的随机种子执行五次，结果以均值</w:t>
      </w:r>
      <w:r>
        <w:t xml:space="preserve"> ± </w:t>
      </w:r>
      <w:r>
        <w:t>标准偏差的形式报告。</w:t>
      </w:r>
      <w:r>
        <w:t xml:space="preserve"> </w:t>
      </w:r>
      <w:r>
        <w:t>此外，还进行了配对</w:t>
      </w:r>
      <w:r>
        <w:t>t</w:t>
      </w:r>
      <w:r>
        <w:t>检验以评估统计学显著性。</w:t>
      </w:r>
      <w:r>
        <w:t xml:space="preserve"> </w:t>
      </w:r>
    </w:p>
    <w:p w:rsidR="00A11189" w:rsidRDefault="00D836FE" w:rsidP="00FA4C95">
      <w:r>
        <w:t>重建误差采用倒角距离（</w:t>
      </w:r>
      <w:r>
        <w:t>CD</w:t>
      </w:r>
      <w:r>
        <w:t>）进行测量，其定义为：</w:t>
      </w:r>
      <w:r>
        <w:t xml:space="preserve"> </w:t>
      </w:r>
    </w:p>
    <w:p w:rsidR="00A11189" w:rsidRDefault="002C017A" w:rsidP="002C017A">
      <w:pPr>
        <w:pStyle w:val="afb"/>
      </w:pPr>
      <w:r w:rsidRPr="002C017A">
        <w:drawing>
          <wp:inline distT="0" distB="0" distL="0" distR="0" wp14:anchorId="2B2075B0" wp14:editId="750EDB1B">
            <wp:extent cx="6408420" cy="780415"/>
            <wp:effectExtent l="0" t="0" r="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8420" cy="780415"/>
                    </a:xfrm>
                    <a:prstGeom prst="rect">
                      <a:avLst/>
                    </a:prstGeom>
                  </pic:spPr>
                </pic:pic>
              </a:graphicData>
            </a:graphic>
          </wp:inline>
        </w:drawing>
      </w:r>
      <w:r w:rsidR="00D836FE">
        <w:t xml:space="preserve"> </w:t>
      </w:r>
    </w:p>
    <w:p w:rsidR="00A11189" w:rsidRDefault="00D836FE" w:rsidP="00FA4C95">
      <w:r>
        <w:t>其中</w:t>
      </w:r>
      <w:r>
        <w:t xml:space="preserve"> P </w:t>
      </w:r>
      <w:r>
        <w:t>和</w:t>
      </w:r>
      <w:r>
        <w:t xml:space="preserve"> Q </w:t>
      </w:r>
      <w:r>
        <w:t>分别表示重建点云集和参考点云集，</w:t>
      </w:r>
      <w:r>
        <w:t>‖</w:t>
      </w:r>
      <w:r>
        <w:rPr>
          <w:rFonts w:ascii="Cambria Math" w:hAnsi="Cambria Math" w:cs="Cambria Math"/>
        </w:rPr>
        <w:t>⋅</w:t>
      </w:r>
      <w:r>
        <w:rPr>
          <w:rFonts w:cs="Times New Roman"/>
        </w:rPr>
        <w:t>‖²</w:t>
      </w:r>
      <w:r>
        <w:t xml:space="preserve"> </w:t>
      </w:r>
      <w:r>
        <w:t>表示欧几里得距离。</w:t>
      </w:r>
      <w:r>
        <w:t xml:space="preserve"> </w:t>
      </w:r>
    </w:p>
    <w:p w:rsidR="00A11189" w:rsidRDefault="00D836FE" w:rsidP="00FA4C95">
      <w:pPr>
        <w:pStyle w:val="2"/>
        <w:spacing w:after="156"/>
        <w:ind w:firstLine="562"/>
      </w:pPr>
      <w:r>
        <w:lastRenderedPageBreak/>
        <w:t xml:space="preserve">4.1. </w:t>
      </w:r>
      <w:r>
        <w:t>参数敏感性分析</w:t>
      </w:r>
      <w:r>
        <w:t xml:space="preserve"> </w:t>
      </w:r>
    </w:p>
    <w:p w:rsidR="00A11189" w:rsidRDefault="00D836FE" w:rsidP="00FA4C95">
      <w:pPr>
        <w:pStyle w:val="3"/>
        <w:spacing w:after="156"/>
        <w:ind w:firstLine="482"/>
      </w:pPr>
      <w:r>
        <w:t xml:space="preserve">4.1.1. HYPERLINK “SPS:id::Sec7” HYPERLINK “SPS:id::Sec8” </w:t>
      </w:r>
      <w:r>
        <w:t>采样密度的影响</w:t>
      </w:r>
      <w:r>
        <w:t xml:space="preserve"> </w:t>
      </w:r>
    </w:p>
    <w:p w:rsidR="00A11189" w:rsidRDefault="00D836FE" w:rsidP="00FA4C95">
      <w:r>
        <w:t>为了评估采样密度比</w:t>
      </w:r>
      <w:r>
        <w:t xml:space="preserve"> ρL </w:t>
      </w:r>
      <w:r>
        <w:t>对候选视点数量和分布的影响，设计了一系列比较实验以确定最佳参数设置（图</w:t>
      </w:r>
      <w:r>
        <w:t xml:space="preserve"> 11(a)</w:t>
      </w:r>
      <w:r>
        <w:t>）。</w:t>
      </w:r>
      <w:r>
        <w:t xml:space="preserve"> </w:t>
      </w:r>
      <w:r>
        <w:t>利用</w:t>
      </w:r>
      <w:r>
        <w:t>CoppeliaSim</w:t>
      </w:r>
      <w:r>
        <w:t>仿真环境预先计算了每个视点的点云掩膜文件，并采用</w:t>
      </w:r>
      <w:r>
        <w:t>FPS</w:t>
      </w:r>
      <w:r>
        <w:t>采样直至达到</w:t>
      </w:r>
      <w:r>
        <w:t>95%</w:t>
      </w:r>
      <w:r>
        <w:t>的总体覆盖率。该流程与第</w:t>
      </w:r>
      <w:r>
        <w:t>4.3</w:t>
      </w:r>
      <w:r>
        <w:t>节中描述的仿真步骤一致。通过候选视点的数量以及</w:t>
      </w:r>
      <w:r>
        <w:t>FPS</w:t>
      </w:r>
      <w:r>
        <w:t>采样后高风险区域内的切比雪夫距离，评估了不同配置下候选视点的质量。</w:t>
      </w:r>
      <w:r>
        <w:t xml:space="preserve"> </w:t>
      </w:r>
    </w:p>
    <w:p w:rsidR="00A11189" w:rsidRDefault="00D836FE" w:rsidP="00FA4C95">
      <w:r>
        <w:t>如图</w:t>
      </w:r>
      <w:r>
        <w:t>11(b)</w:t>
      </w:r>
      <w:r>
        <w:t>所示</w:t>
      </w:r>
      <w:r w:rsidR="00A11189">
        <w:t>，本文展示了不同</w:t>
      </w:r>
      <w:r w:rsidR="00A11189">
        <w:t>ρ/L</w:t>
      </w:r>
      <w:r w:rsidR="00A11189">
        <w:t>设置的</w:t>
      </w:r>
      <w:r>
        <w:t>配置方案及实验结果</w:t>
      </w:r>
      <w:r w:rsidR="00A11189">
        <w:t>。为避免因不同比例下的密度变化导致候选视点数量的不确定性，我们将</w:t>
      </w:r>
      <w:r w:rsidR="00A11189">
        <w:t>4</w:t>
      </w:r>
      <w:r w:rsidR="00A11189">
        <w:t>固定为</w:t>
      </w:r>
      <w:r w:rsidR="00A11189">
        <w:t>1/1000</w:t>
      </w:r>
      <w:r w:rsidR="00A11189">
        <w:t>。在六种密度配置中，方案</w:t>
      </w:r>
      <w:r w:rsidR="00A11189">
        <w:t>C</w:t>
      </w:r>
      <w:r w:rsidR="00A11189">
        <w:t>展现出了最均衡的权衡。</w:t>
      </w:r>
      <w:r w:rsidR="00A11189">
        <w:t xml:space="preserve"> </w:t>
      </w:r>
      <w:r w:rsidR="00A11189">
        <w:t>尽管方案</w:t>
      </w:r>
      <w:r w:rsidR="00A11189">
        <w:t>A</w:t>
      </w:r>
      <w:r w:rsidR="00A11189">
        <w:t>和</w:t>
      </w:r>
      <w:r w:rsidR="00A11189">
        <w:t>B</w:t>
      </w:r>
      <w:r w:rsidR="00A11189">
        <w:t>在</w:t>
      </w:r>
      <w:r w:rsidR="00A11189">
        <w:t>L₁</w:t>
      </w:r>
      <w:r w:rsidR="00A11189">
        <w:t>区域实现了最高的覆盖率，但其成本过高且计算效率低下；方案</w:t>
      </w:r>
      <w:r w:rsidR="00A11189">
        <w:t>D–F</w:t>
      </w:r>
      <w:r w:rsidR="00A11189">
        <w:t>虽然减少了视点的总数，却导致</w:t>
      </w:r>
      <w:r w:rsidR="00A11189">
        <w:t>L₁</w:t>
      </w:r>
      <w:r w:rsidR="00A11189">
        <w:t>覆盖率显著下降，从而牺牲了可靠性。这表明方案</w:t>
      </w:r>
      <w:r w:rsidR="00A11189">
        <w:t>C</w:t>
      </w:r>
      <w:r w:rsidR="00A11189">
        <w:t>可以在不引入冗余视点的情况下，在高风险区域保持较高的检查质量，并在各种配置下展现出最稳定的资源分配。</w:t>
      </w:r>
      <w:r w:rsidR="00A11189">
        <w:t xml:space="preserve"> </w:t>
      </w:r>
      <w:r w:rsidR="00A11189">
        <w:t>因此，方案</w:t>
      </w:r>
      <w:r w:rsidR="00A11189">
        <w:t>C</w:t>
      </w:r>
      <w:r w:rsidR="00A11189">
        <w:t>被选为后续实验的默认配置，该配置产生了</w:t>
      </w:r>
      <w:r w:rsidR="00A11189">
        <w:t>928</w:t>
      </w:r>
      <w:r w:rsidR="00A11189">
        <w:t>个候选视点，其风险等级分布比为</w:t>
      </w:r>
      <w:r w:rsidR="00A11189">
        <w:t>ρ₁ : ρ₂ : ρ₃ : ρ₄ = 8:4:2:1</w:t>
      </w:r>
      <w:r w:rsidR="00A11189">
        <w:t>。</w:t>
      </w:r>
    </w:p>
    <w:p w:rsidR="00D836FE" w:rsidRDefault="00A11189" w:rsidP="00FA4C95">
      <w:pPr>
        <w:pStyle w:val="afb"/>
        <w:rPr>
          <w:kern w:val="0"/>
          <w:sz w:val="22"/>
          <w:lang w:eastAsia="en-US"/>
        </w:rPr>
      </w:pPr>
      <w:r>
        <w:rPr>
          <w:noProof/>
        </w:rPr>
        <w:drawing>
          <wp:inline distT="0" distB="0" distL="0" distR="0" wp14:anchorId="4BDD623B" wp14:editId="70826886">
            <wp:extent cx="5274310" cy="2164121"/>
            <wp:effectExtent l="0" t="0" r="2540" b="762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0" cstate="print"/>
                    <a:stretch>
                      <a:fillRect/>
                    </a:stretch>
                  </pic:blipFill>
                  <pic:spPr>
                    <a:xfrm>
                      <a:off x="0" y="0"/>
                      <a:ext cx="5274310" cy="2164121"/>
                    </a:xfrm>
                    <a:prstGeom prst="rect">
                      <a:avLst/>
                    </a:prstGeom>
                  </pic:spPr>
                </pic:pic>
              </a:graphicData>
            </a:graphic>
          </wp:inline>
        </w:drawing>
      </w:r>
    </w:p>
    <w:p w:rsidR="00A11189" w:rsidRPr="00A11189" w:rsidRDefault="00A11189" w:rsidP="00FA4C95">
      <w:pPr>
        <w:pStyle w:val="afb"/>
      </w:pPr>
      <w:r w:rsidRPr="00A11189">
        <w:rPr>
          <w:b/>
        </w:rPr>
        <w:t>图</w:t>
      </w:r>
      <w:r w:rsidRPr="00A11189">
        <w:rPr>
          <w:b/>
        </w:rPr>
        <w:t xml:space="preserve"> 11.</w:t>
      </w:r>
      <w:r w:rsidRPr="00A11189">
        <w:t xml:space="preserve"> </w:t>
      </w:r>
      <w:r w:rsidRPr="00A11189">
        <w:t>采样密度配置及其影响。</w:t>
      </w:r>
      <w:r w:rsidRPr="00A11189">
        <w:t xml:space="preserve">(a) </w:t>
      </w:r>
      <w:r w:rsidRPr="00A11189">
        <w:t>不同采样密度配置下，四个风险等级（</w:t>
      </w:r>
      <w:r w:rsidRPr="00A11189">
        <w:t>L</w:t>
      </w:r>
      <w:r w:rsidRPr="00A11189">
        <w:rPr>
          <w:vertAlign w:val="subscript"/>
        </w:rPr>
        <w:t>(1) –</w:t>
      </w:r>
      <w:r w:rsidRPr="00A11189">
        <w:t>L</w:t>
      </w:r>
      <w:r w:rsidRPr="00A11189">
        <w:rPr>
          <w:vertAlign w:val="subscript"/>
        </w:rPr>
        <w:t>4</w:t>
      </w:r>
      <w:r w:rsidRPr="00A11189">
        <w:t>）候选视点的分布比例；</w:t>
      </w:r>
      <w:r w:rsidRPr="00A11189">
        <w:t xml:space="preserve">(b) </w:t>
      </w:r>
      <w:r w:rsidRPr="00A11189">
        <w:t>不同配置下</w:t>
      </w:r>
      <w:r w:rsidRPr="00A11189">
        <w:t xml:space="preserve"> L</w:t>
      </w:r>
      <w:r w:rsidRPr="00A11189">
        <w:rPr>
          <w:vertAlign w:val="subscript"/>
        </w:rPr>
        <w:t>1</w:t>
      </w:r>
      <w:r w:rsidRPr="00A11189">
        <w:t xml:space="preserve"> </w:t>
      </w:r>
      <w:r w:rsidRPr="00A11189">
        <w:t>区域</w:t>
      </w:r>
      <w:r w:rsidRPr="00A11189">
        <w:rPr>
          <w:vertAlign w:val="subscript"/>
        </w:rPr>
        <w:t>的</w:t>
      </w:r>
      <w:r w:rsidRPr="00A11189">
        <w:t>候选视点总数及覆盖率。</w:t>
      </w:r>
    </w:p>
    <w:p w:rsidR="004B751D" w:rsidRDefault="00A11189" w:rsidP="00FA4C95">
      <w:pPr>
        <w:pStyle w:val="3"/>
        <w:spacing w:after="156"/>
        <w:ind w:firstLine="482"/>
      </w:pPr>
      <w:r>
        <w:t xml:space="preserve">4.1.2. </w:t>
      </w:r>
      <w:r>
        <w:t>奖励权重的敏感性分析</w:t>
      </w:r>
      <w:r>
        <w:t xml:space="preserve"> </w:t>
      </w:r>
    </w:p>
    <w:p w:rsidR="00A11189" w:rsidRDefault="00A11189" w:rsidP="00FA4C95">
      <w:r>
        <w:t>为了评估每个奖励权重如何影响所学习的策略结构，我们在与主要实验相同的</w:t>
      </w:r>
      <w:r>
        <w:t xml:space="preserve"> Mask-PPO </w:t>
      </w:r>
      <w:r>
        <w:t>模拟环境中进行了单因素敏感性分析。叶盘几何形状、候选视点集和可达性约束均保持不变；每次仅改变一个权重，以避免混淆效应。在扫描一个权重时，其余三个权重固定为预设值。</w:t>
      </w:r>
      <w:r>
        <w:t xml:space="preserve"> </w:t>
      </w:r>
      <w:r>
        <w:t>预设初始值是根据奖励成分的量级和物理尺度，以及初步合理性检查调优确定的：（</w:t>
      </w:r>
      <w:r>
        <w:t>α₀ = 5, β₀ = 0.5, γ₀ = 0.25, η₀ = 0.1</w:t>
      </w:r>
      <w:r>
        <w:t>）。</w:t>
      </w:r>
      <w:r>
        <w:t xml:space="preserve"> </w:t>
      </w:r>
    </w:p>
    <w:p w:rsidR="00A11189" w:rsidRDefault="00A11189" w:rsidP="00FA4C95">
      <w:r>
        <w:t>以此预设配置为起点，我们进行了逐因子扫描：在其他三个权重保持固定的情况下，将每个权重在预定义的候选范围内进行调整。该流程用于识别稳定的权衡区域并选定最终权重。覆盖率、平衡性和成本指标的趋势如图</w:t>
      </w:r>
      <w:r>
        <w:t xml:space="preserve"> 12(a–h) </w:t>
      </w:r>
      <w:r>
        <w:t>所示。</w:t>
      </w:r>
    </w:p>
    <w:p w:rsidR="00D40F31" w:rsidRDefault="00D40F31" w:rsidP="00FA4C95">
      <w:pPr>
        <w:pStyle w:val="afb"/>
      </w:pPr>
      <w:r w:rsidRPr="004B751D">
        <w:rPr>
          <w:noProof/>
        </w:rPr>
        <w:lastRenderedPageBreak/>
        <w:drawing>
          <wp:inline distT="0" distB="0" distL="0" distR="0" wp14:anchorId="0E0E7B47" wp14:editId="2A9E15B0">
            <wp:extent cx="6222671" cy="2838203"/>
            <wp:effectExtent l="0" t="0" r="6985" b="635"/>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1" cstate="print"/>
                    <a:stretch>
                      <a:fillRect/>
                    </a:stretch>
                  </pic:blipFill>
                  <pic:spPr>
                    <a:xfrm>
                      <a:off x="0" y="0"/>
                      <a:ext cx="6242625" cy="2847304"/>
                    </a:xfrm>
                    <a:prstGeom prst="rect">
                      <a:avLst/>
                    </a:prstGeom>
                  </pic:spPr>
                </pic:pic>
              </a:graphicData>
            </a:graphic>
          </wp:inline>
        </w:drawing>
      </w:r>
    </w:p>
    <w:p w:rsidR="00D40F31" w:rsidRPr="004B751D" w:rsidRDefault="00D40F31" w:rsidP="00FA4C95">
      <w:pPr>
        <w:pStyle w:val="afb"/>
      </w:pPr>
      <w:r w:rsidRPr="00D40F31">
        <w:rPr>
          <w:b/>
          <w:w w:val="110"/>
        </w:rPr>
        <w:t>图</w:t>
      </w:r>
      <w:r w:rsidRPr="00D40F31">
        <w:rPr>
          <w:b/>
          <w:w w:val="110"/>
        </w:rPr>
        <w:t xml:space="preserve"> 12.</w:t>
      </w:r>
      <w:r w:rsidRPr="00D40F31">
        <w:rPr>
          <w:w w:val="110"/>
        </w:rPr>
        <w:t xml:space="preserve"> </w:t>
      </w:r>
      <w:r w:rsidRPr="00D40F31">
        <w:rPr>
          <w:w w:val="110"/>
        </w:rPr>
        <w:t>奖励权重的单因子敏感性分析。</w:t>
      </w:r>
      <w:r w:rsidRPr="00D40F31">
        <w:rPr>
          <w:w w:val="110"/>
        </w:rPr>
        <w:t xml:space="preserve">(a–b) </w:t>
      </w:r>
      <w:r w:rsidRPr="00D40F31">
        <w:rPr>
          <w:w w:val="110"/>
        </w:rPr>
        <w:t>改变</w:t>
      </w:r>
      <w:r w:rsidRPr="00D40F31">
        <w:rPr>
          <w:w w:val="110"/>
        </w:rPr>
        <w:t xml:space="preserve"> </w:t>
      </w:r>
      <w:r w:rsidRPr="00D40F31">
        <w:rPr>
          <w:rFonts w:ascii="Arial" w:hAnsi="Arial"/>
          <w:i/>
          <w:w w:val="110"/>
        </w:rPr>
        <w:t>α</w:t>
      </w:r>
      <w:r w:rsidRPr="00D40F31">
        <w:rPr>
          <w:w w:val="110"/>
        </w:rPr>
        <w:t>：覆盖率和路径长度；</w:t>
      </w:r>
      <w:r w:rsidRPr="00D40F31">
        <w:rPr>
          <w:w w:val="110"/>
        </w:rPr>
        <w:t xml:space="preserve">(c–d) </w:t>
      </w:r>
      <w:r w:rsidRPr="00D40F31">
        <w:rPr>
          <w:w w:val="110"/>
        </w:rPr>
        <w:t>改变</w:t>
      </w:r>
      <w:r w:rsidRPr="00D40F31">
        <w:rPr>
          <w:w w:val="110"/>
        </w:rPr>
        <w:t xml:space="preserve"> </w:t>
      </w:r>
      <w:r w:rsidRPr="00D40F31">
        <w:rPr>
          <w:rFonts w:ascii="Arial" w:hAnsi="Arial"/>
          <w:i/>
          <w:w w:val="110"/>
        </w:rPr>
        <w:t>β</w:t>
      </w:r>
      <w:r w:rsidRPr="00D40F31">
        <w:rPr>
          <w:w w:val="110"/>
        </w:rPr>
        <w:t>：覆盖率方差和视点数量；</w:t>
      </w:r>
      <w:r w:rsidRPr="00D40F31">
        <w:rPr>
          <w:w w:val="110"/>
        </w:rPr>
        <w:t xml:space="preserve">(e–f) </w:t>
      </w:r>
      <w:r w:rsidRPr="00D40F31">
        <w:rPr>
          <w:w w:val="110"/>
        </w:rPr>
        <w:t>改变</w:t>
      </w:r>
      <w:r w:rsidRPr="00D40F31">
        <w:rPr>
          <w:w w:val="110"/>
        </w:rPr>
        <w:t xml:space="preserve"> </w:t>
      </w:r>
      <w:r w:rsidRPr="00D40F31">
        <w:rPr>
          <w:rFonts w:ascii="Arial" w:hAnsi="Arial"/>
          <w:i/>
          <w:w w:val="110"/>
        </w:rPr>
        <w:t>γ</w:t>
      </w:r>
      <w:r w:rsidRPr="00D40F31">
        <w:rPr>
          <w:w w:val="110"/>
        </w:rPr>
        <w:t>：每片叶片的最小覆盖率和视点数量；</w:t>
      </w:r>
      <w:r w:rsidRPr="00D40F31">
        <w:rPr>
          <w:w w:val="110"/>
        </w:rPr>
        <w:t xml:space="preserve">(g–h) </w:t>
      </w:r>
      <w:r w:rsidRPr="00D40F31">
        <w:rPr>
          <w:w w:val="110"/>
        </w:rPr>
        <w:t>改变</w:t>
      </w:r>
      <w:r w:rsidRPr="00D40F31">
        <w:rPr>
          <w:w w:val="110"/>
        </w:rPr>
        <w:t xml:space="preserve"> </w:t>
      </w:r>
      <w:r w:rsidRPr="00D40F31">
        <w:rPr>
          <w:rFonts w:ascii="Arial" w:hAnsi="Arial"/>
          <w:i/>
          <w:w w:val="110"/>
        </w:rPr>
        <w:t>η</w:t>
      </w:r>
      <w:r w:rsidRPr="00D40F31">
        <w:rPr>
          <w:w w:val="110"/>
        </w:rPr>
        <w:t>：路径长度和高风险覆盖率。</w:t>
      </w:r>
    </w:p>
    <w:p w:rsidR="00A11189" w:rsidRDefault="00A11189" w:rsidP="00FA4C95">
      <w:r>
        <w:t xml:space="preserve">(1) α </w:t>
      </w:r>
      <w:r>
        <w:t>的影响。增大</w:t>
      </w:r>
      <w:r>
        <w:t xml:space="preserve"> α </w:t>
      </w:r>
      <w:r>
        <w:t>会放大覆盖增益的贡献，使策略能够更早地优先处理高信息量区域，从而加速整体覆盖率的增长（图</w:t>
      </w:r>
      <w:r>
        <w:t xml:space="preserve"> 12(a)</w:t>
      </w:r>
      <w:r>
        <w:t>）。与此同时，较大的</w:t>
      </w:r>
      <w:r>
        <w:t xml:space="preserve"> α </w:t>
      </w:r>
      <w:r>
        <w:t>也会促使更多长距离转换，导致路径长度增加（图</w:t>
      </w:r>
      <w:r>
        <w:t xml:space="preserve"> 12(b)</w:t>
      </w:r>
      <w:r>
        <w:t>）。</w:t>
      </w:r>
      <w:r>
        <w:t xml:space="preserve"> </w:t>
      </w:r>
      <w:r>
        <w:t>当大多数高增益区域达到饱和后，进一步增大</w:t>
      </w:r>
      <w:r>
        <w:t xml:space="preserve"> α </w:t>
      </w:r>
      <w:r>
        <w:t>带来的覆盖率提升效果逐渐递减，而移动成本却持续累积。在我们的扫描中，平均覆盖率达到一个平台期：当</w:t>
      </w:r>
      <w:r>
        <w:t xml:space="preserve"> α = 13 </w:t>
      </w:r>
      <w:r>
        <w:t>或</w:t>
      </w:r>
      <w:r>
        <w:t xml:space="preserve"> 14 </w:t>
      </w:r>
      <w:r>
        <w:t>时，最大覆盖率为</w:t>
      </w:r>
      <w:r>
        <w:t xml:space="preserve"> 94.8%</w:t>
      </w:r>
      <w:r>
        <w:t>，而</w:t>
      </w:r>
      <w:r>
        <w:t xml:space="preserve"> α = 10 </w:t>
      </w:r>
      <w:r>
        <w:t>时已达到</w:t>
      </w:r>
      <w:r>
        <w:t xml:space="preserve"> 94.5%</w:t>
      </w:r>
      <w:r>
        <w:t>（约为最大值的</w:t>
      </w:r>
      <w:r>
        <w:t xml:space="preserve"> 99.7%</w:t>
      </w:r>
      <w:r>
        <w:t>）。</w:t>
      </w:r>
      <w:r>
        <w:t xml:space="preserve"> </w:t>
      </w:r>
      <w:r>
        <w:t>将</w:t>
      </w:r>
      <w:r>
        <w:t xml:space="preserve"> α </w:t>
      </w:r>
      <w:r>
        <w:t>从</w:t>
      </w:r>
      <w:r>
        <w:t xml:space="preserve"> 10 </w:t>
      </w:r>
      <w:r>
        <w:t>进一步增加到</w:t>
      </w:r>
      <w:r>
        <w:t xml:space="preserve"> 14 </w:t>
      </w:r>
      <w:r>
        <w:t>仅使覆盖率提高了</w:t>
      </w:r>
      <w:r>
        <w:t xml:space="preserve"> 0.30 </w:t>
      </w:r>
      <w:r>
        <w:t>个百分点，而总路径长度却从</w:t>
      </w:r>
      <w:r>
        <w:t xml:space="preserve"> 11.0 </w:t>
      </w:r>
      <w:r>
        <w:t>增加到</w:t>
      </w:r>
      <w:r>
        <w:t xml:space="preserve"> 13.0</w:t>
      </w:r>
      <w:r>
        <w:t>（</w:t>
      </w:r>
      <w:r>
        <w:t>+18.2%</w:t>
      </w:r>
      <w:r>
        <w:t>）。因此，我们将</w:t>
      </w:r>
      <w:r>
        <w:t xml:space="preserve"> α </w:t>
      </w:r>
      <w:r>
        <w:t>设为</w:t>
      </w:r>
      <w:r>
        <w:t xml:space="preserve"> 10</w:t>
      </w:r>
      <w:r>
        <w:t>，该值处于一个稳定的权衡范围内，既能充分提高覆盖率，又不会导致路径成本不成比例地增加。</w:t>
      </w:r>
      <w:r>
        <w:t xml:space="preserve"> </w:t>
      </w:r>
    </w:p>
    <w:p w:rsidR="00A11189" w:rsidRDefault="00A11189" w:rsidP="00FA4C95">
      <w:r>
        <w:t xml:space="preserve">(2) β </w:t>
      </w:r>
      <w:r>
        <w:t>的影响。</w:t>
      </w:r>
      <w:r>
        <w:t xml:space="preserve">β </w:t>
      </w:r>
      <w:r>
        <w:t>主要调节叶片间的均匀性：随着</w:t>
      </w:r>
      <w:r>
        <w:t xml:space="preserve"> β </w:t>
      </w:r>
      <w:r>
        <w:t>增加，每片叶片的覆盖率方差显著降低，表明对先前覆盖不足的叶片进行了更均衡的扫描分配（图</w:t>
      </w:r>
      <w:r>
        <w:t xml:space="preserve"> 12(c)</w:t>
      </w:r>
      <w:r>
        <w:t>）。</w:t>
      </w:r>
      <w:r>
        <w:t xml:space="preserve"> </w:t>
      </w:r>
      <w:r>
        <w:t>这种均匀性的改善需要额外的视点（图</w:t>
      </w:r>
      <w:r>
        <w:t xml:space="preserve"> 12(d)</w:t>
      </w:r>
      <w:r>
        <w:t>），且当</w:t>
      </w:r>
      <w:r>
        <w:t xml:space="preserve"> β </w:t>
      </w:r>
      <w:r>
        <w:t>超出适度范围后，均匀性提升将变得微乎其微，而资源成本却持续上升。遵循相同的</w:t>
      </w:r>
      <w:r>
        <w:t>“</w:t>
      </w:r>
      <w:r>
        <w:t>平台</w:t>
      </w:r>
      <w:r>
        <w:t>—</w:t>
      </w:r>
      <w:r>
        <w:t>成本</w:t>
      </w:r>
      <w:r>
        <w:t>”</w:t>
      </w:r>
      <w:r>
        <w:t>权衡标准，我们选择</w:t>
      </w:r>
      <w:r>
        <w:t xml:space="preserve"> β = 0.5</w:t>
      </w:r>
      <w:r>
        <w:t>，此时方差显著降低，而额外视点的增长仍可控。</w:t>
      </w:r>
      <w:r>
        <w:t xml:space="preserve"> </w:t>
      </w:r>
    </w:p>
    <w:p w:rsidR="00A11189" w:rsidRDefault="00A11189" w:rsidP="00FA4C95">
      <w:r>
        <w:t xml:space="preserve">(3) γ </w:t>
      </w:r>
      <w:r>
        <w:t>的影响。</w:t>
      </w:r>
      <w:r>
        <w:t xml:space="preserve">γ </w:t>
      </w:r>
      <w:r>
        <w:t>通过对薄弱区域施加惩罚来确保下限保证：增加</w:t>
      </w:r>
      <w:r>
        <w:t xml:space="preserve"> γ </w:t>
      </w:r>
      <w:r>
        <w:t>会迅速提高最小覆盖率，表明对瓶颈区域的响应能力更强（图</w:t>
      </w:r>
      <w:r>
        <w:t xml:space="preserve"> 12(e)</w:t>
      </w:r>
      <w:r>
        <w:t>）。然而，过大的</w:t>
      </w:r>
      <w:r>
        <w:t xml:space="preserve"> γ </w:t>
      </w:r>
      <w:r>
        <w:t>会导致在困难区域产生重复补偿，因此最小覆盖率趋于饱和，而视点消耗却持续增加（图</w:t>
      </w:r>
      <w:r>
        <w:t xml:space="preserve"> 12(f)</w:t>
      </w:r>
      <w:r>
        <w:t>）。</w:t>
      </w:r>
      <w:r>
        <w:t xml:space="preserve"> </w:t>
      </w:r>
      <w:r>
        <w:t>值得注意的是，当</w:t>
      </w:r>
      <w:r>
        <w:t xml:space="preserve"> γ </w:t>
      </w:r>
      <w:r>
        <w:t>超过</w:t>
      </w:r>
      <w:r>
        <w:t xml:space="preserve"> 0.2 </w:t>
      </w:r>
      <w:r>
        <w:t>时，视点总数会急剧增加，表明执行成本迅速上升。因此，我们</w:t>
      </w:r>
      <w:r>
        <w:t xml:space="preserve"> </w:t>
      </w:r>
      <w:r>
        <w:t>选择</w:t>
      </w:r>
      <w:r>
        <w:t xml:space="preserve"> γ = 0.2</w:t>
      </w:r>
      <w:r>
        <w:t>，该值位于有效范围内，既能显著提升最小覆盖率，又不会引发视点数量的过度增长。</w:t>
      </w:r>
      <w:r>
        <w:t xml:space="preserve"> </w:t>
      </w:r>
    </w:p>
    <w:p w:rsidR="00A11189" w:rsidRDefault="00A11189" w:rsidP="00FA4C95">
      <w:r>
        <w:t xml:space="preserve">(4) η </w:t>
      </w:r>
      <w:r>
        <w:t>的影响。</w:t>
      </w:r>
      <w:r>
        <w:t xml:space="preserve">η </w:t>
      </w:r>
      <w:r>
        <w:t>通过惩罚移动来塑造运动行为：较大的</w:t>
      </w:r>
      <w:r>
        <w:t xml:space="preserve"> η </w:t>
      </w:r>
      <w:r>
        <w:t>会抑制过度的视点切换，并产生更短的路径（图</w:t>
      </w:r>
      <w:r>
        <w:t xml:space="preserve"> 12(g)</w:t>
      </w:r>
      <w:r>
        <w:t>）。当</w:t>
      </w:r>
      <w:r>
        <w:t xml:space="preserve"> η </w:t>
      </w:r>
      <w:r>
        <w:t>过高时，策略会变得过于保守，从而避开距离较远但信息量大的视点，导致高风险区域的覆盖率明显下降，特别是对于几何跨度较大的叶片（图</w:t>
      </w:r>
      <w:r>
        <w:t xml:space="preserve"> 12(h)</w:t>
      </w:r>
      <w:r>
        <w:t>）。</w:t>
      </w:r>
      <w:r>
        <w:t xml:space="preserve"> </w:t>
      </w:r>
      <w:r>
        <w:t>基于相同的权衡标准，我们选择</w:t>
      </w:r>
      <w:r>
        <w:t xml:space="preserve"> η = 0.1</w:t>
      </w:r>
      <w:r>
        <w:t>，该值可在不明显牺牲高风险区域覆盖率的前提下缩短路径长度。</w:t>
      </w:r>
      <w:r>
        <w:t xml:space="preserve"> </w:t>
      </w:r>
    </w:p>
    <w:p w:rsidR="00A11189" w:rsidRDefault="00A11189" w:rsidP="00FA4C95">
      <w:r>
        <w:lastRenderedPageBreak/>
        <w:t>因此，后续所有实验均采用配置</w:t>
      </w:r>
      <w:r>
        <w:t xml:space="preserve"> (α=10, β=0.5, γ=0.2, η=0.1)</w:t>
      </w:r>
      <w:r>
        <w:t>。该设置代表了一个稳健的平衡点，在高质量覆盖与均匀性，以及高效的运动学成本之间实现了有效平衡。</w:t>
      </w:r>
      <w:r>
        <w:t xml:space="preserve"> </w:t>
      </w:r>
    </w:p>
    <w:p w:rsidR="00A11189" w:rsidRDefault="00A11189" w:rsidP="00FA4C95">
      <w:pPr>
        <w:pStyle w:val="2"/>
        <w:spacing w:after="156"/>
        <w:ind w:firstLine="562"/>
      </w:pPr>
      <w:r>
        <w:t xml:space="preserve">4.2. </w:t>
      </w:r>
      <w:r>
        <w:t>强化学习基线比较</w:t>
      </w:r>
      <w:r>
        <w:t xml:space="preserve"> </w:t>
      </w:r>
    </w:p>
    <w:p w:rsidR="00A11189" w:rsidRDefault="00A11189" w:rsidP="00FA4C95">
      <w:r>
        <w:t>在</w:t>
      </w:r>
      <w:r>
        <w:t xml:space="preserve"> CoppeliaSim 4.1 </w:t>
      </w:r>
      <w:r>
        <w:t>中实现了一个强化学习训练环境，并通过</w:t>
      </w:r>
      <w:r>
        <w:t xml:space="preserve"> Python </w:t>
      </w:r>
      <w:r>
        <w:t>接口</w:t>
      </w:r>
      <w:r>
        <w:t xml:space="preserve"> PyRep </w:t>
      </w:r>
      <w:r>
        <w:t>进行控制（图</w:t>
      </w:r>
      <w:r>
        <w:t xml:space="preserve"> 13</w:t>
      </w:r>
      <w:r>
        <w:t>）。该场景由一个</w:t>
      </w:r>
      <w:r>
        <w:t xml:space="preserve"> 6 </w:t>
      </w:r>
      <w:r>
        <w:t>自由度机械手、一个结构光扫描模块和一个多叶片整体叶盘模型组成。</w:t>
      </w:r>
      <w:r>
        <w:t xml:space="preserve"> </w:t>
      </w:r>
      <w:r>
        <w:t>在粗规划阶段生成的候选视点被导入为</w:t>
      </w:r>
      <w:r>
        <w:t xml:space="preserve"> Dummy </w:t>
      </w:r>
      <w:r>
        <w:t>对象，并作为离散动作处理。在每个步骤中，智能体使用带碰撞检测的反向运动学求解器执行选定的动作，在目标姿态下获取点云，并通过融合下采样后的测量数据与历史观测数据来更新状态，以反映全局覆盖进度和局部检测状态。</w:t>
      </w:r>
      <w:r>
        <w:t xml:space="preserve"> </w:t>
      </w:r>
      <w:r>
        <w:t>当整体覆盖率达到预设阈值</w:t>
      </w:r>
      <w:r>
        <w:t xml:space="preserve"> C≥95% </w:t>
      </w:r>
      <w:r>
        <w:t>或动作预算耗尽时，该回合即告结束；为避免特定索引的偏倚，每个回合开始时会随机打乱候选索引的顺序。</w:t>
      </w:r>
      <w:r>
        <w:t xml:space="preserve"> </w:t>
      </w:r>
    </w:p>
    <w:p w:rsidR="00D40F31" w:rsidRDefault="00D40F31" w:rsidP="00FA4C95">
      <w:pPr>
        <w:pStyle w:val="afb"/>
      </w:pPr>
      <w:r w:rsidRPr="004B751D">
        <w:rPr>
          <w:noProof/>
        </w:rPr>
        <w:drawing>
          <wp:inline distT="0" distB="0" distL="0" distR="0" wp14:anchorId="30C6A42F" wp14:editId="592BAE98">
            <wp:extent cx="4168239" cy="2505693"/>
            <wp:effectExtent l="0" t="0" r="3810" b="9525"/>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2" cstate="print"/>
                    <a:stretch>
                      <a:fillRect/>
                    </a:stretch>
                  </pic:blipFill>
                  <pic:spPr>
                    <a:xfrm>
                      <a:off x="0" y="0"/>
                      <a:ext cx="4184976" cy="2515754"/>
                    </a:xfrm>
                    <a:prstGeom prst="rect">
                      <a:avLst/>
                    </a:prstGeom>
                  </pic:spPr>
                </pic:pic>
              </a:graphicData>
            </a:graphic>
          </wp:inline>
        </w:drawing>
      </w:r>
    </w:p>
    <w:p w:rsidR="00D40F31" w:rsidRPr="00D40F31" w:rsidRDefault="00D40F31" w:rsidP="00FA4C95">
      <w:pPr>
        <w:pStyle w:val="afb"/>
      </w:pPr>
      <w:r>
        <w:rPr>
          <w:b/>
          <w:w w:val="115"/>
        </w:rPr>
        <w:t>图</w:t>
      </w:r>
      <w:r>
        <w:rPr>
          <w:b/>
          <w:w w:val="115"/>
        </w:rPr>
        <w:t xml:space="preserve"> 13.</w:t>
      </w:r>
      <w:r>
        <w:rPr>
          <w:w w:val="115"/>
        </w:rPr>
        <w:t xml:space="preserve"> </w:t>
      </w:r>
      <w:r>
        <w:rPr>
          <w:w w:val="115"/>
        </w:rPr>
        <w:t>导入候选视点的</w:t>
      </w:r>
      <w:r>
        <w:rPr>
          <w:w w:val="115"/>
        </w:rPr>
        <w:t xml:space="preserve"> CoppeliaSim </w:t>
      </w:r>
      <w:r>
        <w:rPr>
          <w:w w:val="115"/>
        </w:rPr>
        <w:t>仿真环境。</w:t>
      </w:r>
    </w:p>
    <w:p w:rsidR="00A11189" w:rsidRDefault="00A11189" w:rsidP="00FA4C95">
      <w:r>
        <w:t>我们对比了三种具有代表性的演员</w:t>
      </w:r>
      <w:r>
        <w:t>-</w:t>
      </w:r>
      <w:r>
        <w:t>评论家（</w:t>
      </w:r>
      <w:r>
        <w:t>Actor–Critic</w:t>
      </w:r>
      <w:r>
        <w:t>）方法。</w:t>
      </w:r>
      <w:r>
        <w:t xml:space="preserve">PPO-Std </w:t>
      </w:r>
      <w:r>
        <w:t>在</w:t>
      </w:r>
      <w:r>
        <w:t xml:space="preserve"> </w:t>
      </w:r>
      <w:r>
        <w:t>整个离散动作集上进行符合策略的更新，不显式处理可达性或碰撞约束，仅依赖奖励信号间接惩罚不可行的动作。</w:t>
      </w:r>
      <w:r>
        <w:t xml:space="preserve"> Mask-SAC </w:t>
      </w:r>
      <w:r>
        <w:t>是</w:t>
      </w:r>
      <w:r>
        <w:t xml:space="preserve"> SAC [39] </w:t>
      </w:r>
      <w:r>
        <w:t>的离散动作变体，采用基于经验回放的最大熵离策略学习；在每一步，通过逆运动学（</w:t>
      </w:r>
      <w:r>
        <w:t>IK</w:t>
      </w:r>
      <w:r>
        <w:t>）和碰撞检测构建一个可行动作子集，并在对该子集进行归一化后才进行策略</w:t>
      </w:r>
      <w:r>
        <w:t>/</w:t>
      </w:r>
      <w:r>
        <w:t>价值更新。</w:t>
      </w:r>
      <w:r>
        <w:t xml:space="preserve"> Mask-PPO </w:t>
      </w:r>
      <w:r>
        <w:t>将相同的动作屏蔽机制融入</w:t>
      </w:r>
      <w:r>
        <w:t xml:space="preserve"> PPO </w:t>
      </w:r>
      <w:r>
        <w:t>框架，使得采样和优化始终局限于可行动作子空间，从而减少了无效探索。</w:t>
      </w:r>
      <w:r>
        <w:t xml:space="preserve"> </w:t>
      </w:r>
    </w:p>
    <w:p w:rsidR="00A11189" w:rsidRDefault="00A11189" w:rsidP="00FA4C95">
      <w:r>
        <w:t>这三种方法共享相同的候选项集、风险场构造、遮挡评估、可达性约束、状态表示和多目标奖励；它们仅在更新方案以及是否显式强制执行可行性先验方面存在差异。</w:t>
      </w:r>
      <w:r>
        <w:t xml:space="preserve"> </w:t>
      </w:r>
      <w:r>
        <w:t>表</w:t>
      </w:r>
      <w:r>
        <w:t xml:space="preserve"> 3 </w:t>
      </w:r>
      <w:r>
        <w:t>总结了</w:t>
      </w:r>
      <w:r>
        <w:t xml:space="preserve"> PPO</w:t>
      </w:r>
      <w:r>
        <w:t>（</w:t>
      </w:r>
      <w:r>
        <w:t>PPO-Std/Mask-PPO</w:t>
      </w:r>
      <w:r>
        <w:t>）和</w:t>
      </w:r>
      <w:r>
        <w:t xml:space="preserve"> Mask-SAC </w:t>
      </w:r>
      <w:r>
        <w:t>的超参数。每种算法均进行了</w:t>
      </w:r>
      <w:r>
        <w:t xml:space="preserve"> 3000 </w:t>
      </w:r>
      <w:r>
        <w:t>个回合的训练，并在三个随机种子下重复进行。</w:t>
      </w:r>
      <w:r>
        <w:t xml:space="preserve"> </w:t>
      </w:r>
    </w:p>
    <w:p w:rsidR="00D40F31" w:rsidRDefault="00D40F31" w:rsidP="00FA4C95">
      <w:pPr>
        <w:pStyle w:val="afb"/>
      </w:pPr>
      <w:r w:rsidRPr="00A51526">
        <w:rPr>
          <w:noProof/>
        </w:rPr>
        <w:lastRenderedPageBreak/>
        <w:drawing>
          <wp:inline distT="0" distB="0" distL="0" distR="0" wp14:anchorId="34466EC4" wp14:editId="25A6B673">
            <wp:extent cx="6030259" cy="2802576"/>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93532" cy="2831982"/>
                    </a:xfrm>
                    <a:prstGeom prst="rect">
                      <a:avLst/>
                    </a:prstGeom>
                  </pic:spPr>
                </pic:pic>
              </a:graphicData>
            </a:graphic>
          </wp:inline>
        </w:drawing>
      </w:r>
    </w:p>
    <w:p w:rsidR="00D40F31" w:rsidRDefault="00A11189" w:rsidP="00FA4C95">
      <w:r>
        <w:t>如图</w:t>
      </w:r>
      <w:r>
        <w:t xml:space="preserve"> 14 </w:t>
      </w:r>
      <w:r>
        <w:t>所示，</w:t>
      </w:r>
      <w:r>
        <w:t xml:space="preserve">Mask-PPO </w:t>
      </w:r>
      <w:r>
        <w:t>在训练初期就实现了更高的回报，波动较小，并收敛到最佳最终性能。</w:t>
      </w:r>
      <w:r>
        <w:t xml:space="preserve">Mask-SAC </w:t>
      </w:r>
      <w:r>
        <w:t>始终低于</w:t>
      </w:r>
      <w:r>
        <w:t xml:space="preserve"> Mask-PPO</w:t>
      </w:r>
      <w:r>
        <w:t>，且在训练中后期表现出更大的方差。</w:t>
      </w:r>
      <w:r>
        <w:t xml:space="preserve">PPO-Std </w:t>
      </w:r>
      <w:r>
        <w:t>的改进缓慢且伴有明显的噪声，这主要是由于在高维离散动作空间中持续进行无效探索所致。</w:t>
      </w:r>
      <w:r>
        <w:t xml:space="preserve"> </w:t>
      </w:r>
      <w:r>
        <w:t>步数曲线进一步表明，</w:t>
      </w:r>
      <w:r>
        <w:t xml:space="preserve">Mask-PPO </w:t>
      </w:r>
      <w:r>
        <w:t>显著减少了达到覆盖阈值所需的视点选择步数，并收敛于更短的执行路径；而</w:t>
      </w:r>
      <w:r>
        <w:t xml:space="preserve"> Mask-SAC </w:t>
      </w:r>
      <w:r>
        <w:t>的减少幅度较小，</w:t>
      </w:r>
      <w:r>
        <w:t xml:space="preserve">PPO-Std </w:t>
      </w:r>
      <w:r>
        <w:t>的收敛表现最差。总体而言，</w:t>
      </w:r>
      <w:r>
        <w:t xml:space="preserve">Mask-PPO </w:t>
      </w:r>
      <w:r>
        <w:t>在收敛速度、稳定性和最终规划质量方面始终优于其他两种强化学习基线算法。</w:t>
      </w:r>
      <w:r>
        <w:t xml:space="preserve"> </w:t>
      </w:r>
    </w:p>
    <w:p w:rsidR="00D40F31" w:rsidRDefault="00D40F31" w:rsidP="00FA4C95">
      <w:pPr>
        <w:pStyle w:val="afb"/>
      </w:pPr>
      <w:r w:rsidRPr="00D40F31">
        <w:rPr>
          <w:noProof/>
        </w:rPr>
        <w:drawing>
          <wp:inline distT="0" distB="0" distL="0" distR="0" wp14:anchorId="0B2ED971" wp14:editId="6C11090B">
            <wp:extent cx="6117245" cy="21969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36988" cy="2204026"/>
                    </a:xfrm>
                    <a:prstGeom prst="rect">
                      <a:avLst/>
                    </a:prstGeom>
                  </pic:spPr>
                </pic:pic>
              </a:graphicData>
            </a:graphic>
          </wp:inline>
        </w:drawing>
      </w:r>
    </w:p>
    <w:p w:rsidR="00A51526" w:rsidRDefault="00D40F31" w:rsidP="00FA4C95">
      <w:pPr>
        <w:pStyle w:val="afb"/>
        <w:rPr>
          <w:w w:val="110"/>
        </w:rPr>
      </w:pPr>
      <w:r>
        <w:rPr>
          <w:b/>
          <w:w w:val="110"/>
        </w:rPr>
        <w:t>图</w:t>
      </w:r>
      <w:r>
        <w:rPr>
          <w:b/>
          <w:w w:val="110"/>
        </w:rPr>
        <w:t xml:space="preserve"> 14.</w:t>
      </w:r>
      <w:r>
        <w:rPr>
          <w:w w:val="110"/>
        </w:rPr>
        <w:t xml:space="preserve"> </w:t>
      </w:r>
      <w:r>
        <w:rPr>
          <w:w w:val="110"/>
        </w:rPr>
        <w:t>强化学习基线收敛曲线：</w:t>
      </w:r>
      <w:r>
        <w:rPr>
          <w:w w:val="110"/>
        </w:rPr>
        <w:t xml:space="preserve">(a) </w:t>
      </w:r>
      <w:r>
        <w:rPr>
          <w:w w:val="110"/>
        </w:rPr>
        <w:t>训练奖励；</w:t>
      </w:r>
      <w:r>
        <w:rPr>
          <w:w w:val="110"/>
        </w:rPr>
        <w:t xml:space="preserve">(b) </w:t>
      </w:r>
      <w:r>
        <w:rPr>
          <w:w w:val="110"/>
        </w:rPr>
        <w:t>达到覆盖阈值所需的视角选择步骤数。实线表示平滑移动平均值，阴影区域表示方差。</w:t>
      </w:r>
    </w:p>
    <w:p w:rsidR="00D40F31" w:rsidRDefault="00A11189" w:rsidP="00FA4C95">
      <w:pPr>
        <w:pStyle w:val="2"/>
        <w:spacing w:after="156"/>
        <w:ind w:firstLine="562"/>
      </w:pPr>
      <w:r>
        <w:t xml:space="preserve">4.3. HYPERLINK “SPS:id::Sec8” HYPERLINK “SPS:id::Sec9” </w:t>
      </w:r>
      <w:r>
        <w:t>视点集的仿真验证</w:t>
      </w:r>
      <w:r>
        <w:t xml:space="preserve"> </w:t>
      </w:r>
    </w:p>
    <w:p w:rsidR="00D40F31" w:rsidRDefault="00A11189" w:rsidP="00FA4C95">
      <w:r>
        <w:t>为了评估所提出的精细规划方法在复杂多叶片结构检测中的整体性能，本节从覆盖效率、路径成本、冗余控制和重建精度等方面，对不同算法生成的视点序列进行了比较。</w:t>
      </w:r>
      <w:r>
        <w:t xml:space="preserve"> </w:t>
      </w:r>
      <w:r>
        <w:t>比较包括六种具</w:t>
      </w:r>
      <w:r>
        <w:lastRenderedPageBreak/>
        <w:t>有代表性的策略：</w:t>
      </w:r>
      <w:r>
        <w:t>(1) Greedy-ΔC</w:t>
      </w:r>
      <w:r>
        <w:t>，一种</w:t>
      </w:r>
      <w:r w:rsidR="00D40F31">
        <w:t>基于当前覆盖增益</w:t>
      </w:r>
      <w:r>
        <w:t>贪婪选择</w:t>
      </w:r>
      <w:r w:rsidR="00D40F31">
        <w:t>视点的</w:t>
      </w:r>
      <w:r>
        <w:t>启发式方法</w:t>
      </w:r>
      <w:r w:rsidR="00D40F31">
        <w:t>。</w:t>
      </w:r>
      <w:r w:rsidR="00D40F31">
        <w:t>[40] (2) Greedy-ΔC × φ × Path</w:t>
      </w:r>
      <w:r w:rsidR="00D40F31">
        <w:t>，该方法将区域风险权重和路径成本因子纳入贪婪准则，以平衡高风险优先级与路径抑制。</w:t>
      </w:r>
      <w:r w:rsidR="00D40F31">
        <w:t>(3) Random</w:t>
      </w:r>
      <w:r w:rsidR="00D40F31">
        <w:t>，一种从可行候选项集中均匀采样的随机基线方法。</w:t>
      </w:r>
      <w:r w:rsidR="00D40F31">
        <w:t xml:space="preserve"> (4) FPS</w:t>
      </w:r>
      <w:r w:rsidR="00D40F31">
        <w:t>，一种常用的空间采样策略，通过迭代选择视点以最大化候选集中的空间均匀性。</w:t>
      </w:r>
      <w:r w:rsidR="00D40F31">
        <w:t xml:space="preserve">[41] (5) </w:t>
      </w:r>
      <w:r w:rsidR="00D40F31">
        <w:t>非支配排序遗传算法</w:t>
      </w:r>
      <w:r w:rsidR="00D40F31">
        <w:t xml:space="preserve"> II</w:t>
      </w:r>
      <w:r w:rsidR="00D40F31">
        <w:t>（</w:t>
      </w:r>
      <w:r w:rsidR="00D40F31">
        <w:t>NSGA-II</w:t>
      </w:r>
      <w:r w:rsidR="00D40F31">
        <w:t>），一种典型的多目标进化算法</w:t>
      </w:r>
      <w:r w:rsidR="00D40F31">
        <w:t>[42]</w:t>
      </w:r>
      <w:r w:rsidR="00D40F31">
        <w:t>，可同时优化覆盖率、视点数量和路径长度；以及</w:t>
      </w:r>
      <w:r w:rsidR="00D40F31">
        <w:t xml:space="preserve"> (6) </w:t>
      </w:r>
      <w:r w:rsidR="00D40F31">
        <w:t>本文提出的方法。</w:t>
      </w:r>
      <w:r w:rsidR="00D40F31">
        <w:t xml:space="preserve"> </w:t>
      </w:r>
    </w:p>
    <w:p w:rsidR="00D40F31" w:rsidRDefault="00D40F31" w:rsidP="00FA4C95">
      <w:r>
        <w:t>表</w:t>
      </w:r>
      <w:r>
        <w:t xml:space="preserve"> 4 </w:t>
      </w:r>
      <w:r>
        <w:t>比较了不同算法在相同实验条件下的性能。</w:t>
      </w:r>
      <w:r>
        <w:t xml:space="preserve">Greedy-ΔC </w:t>
      </w:r>
      <w:r>
        <w:t>选定了</w:t>
      </w:r>
      <w:r>
        <w:t xml:space="preserve"> 105 </w:t>
      </w:r>
      <w:r>
        <w:t>个视点，并凭借其覆盖增益准则，在保持较低重建误差的同时实现了适中的路径长度，尽管其路径效率较低。</w:t>
      </w:r>
      <w:r>
        <w:t xml:space="preserve"> </w:t>
      </w:r>
      <w:r>
        <w:t>在此基础上，</w:t>
      </w:r>
      <w:r>
        <w:t>“Greedy-ΔC × φ × Path”</w:t>
      </w:r>
      <w:r>
        <w:t>算法引入了风险加权和路径抑制机制，虽然观测点数量略有增加，但有效优先处理了关键区域并减少了长跳跃，从而实现了更短的路径和更高的效率。相比之下，</w:t>
      </w:r>
      <w:r>
        <w:t>“Random”</w:t>
      </w:r>
      <w:r>
        <w:t>策略因缺乏增益或路径约束，仅以大量冗余观测点和长跳跃为代价完成了覆盖，导致误差最大且效率最低。</w:t>
      </w:r>
      <w:r>
        <w:t xml:space="preserve"> FPS </w:t>
      </w:r>
      <w:r>
        <w:t>通过空间均匀性缓解了这一问题，实现了均衡的覆盖和可接受的精度，但因其缺乏增益或路径优化，仍导致路径较长且存在冗余。与此同时，</w:t>
      </w:r>
      <w:r>
        <w:t xml:space="preserve">NSGA-II </w:t>
      </w:r>
      <w:r>
        <w:t>通过多目标优化进一步改善了路径紧凑性，但其在庞大解空间中依赖迭代搜索，需要大量视点，导致运行时间最长且</w:t>
      </w:r>
      <w:r>
        <w:t xml:space="preserve"> </w:t>
      </w:r>
      <w:r>
        <w:t>误差相对较高。</w:t>
      </w:r>
      <w:r>
        <w:t xml:space="preserve"> </w:t>
      </w:r>
      <w:r>
        <w:t>相比之下，所提出的方法通过学习覆盖增益、风险分布和路径成本之间的动态权衡，实现了最均衡的性能，从而仅用</w:t>
      </w:r>
      <w:r>
        <w:t xml:space="preserve"> 109 </w:t>
      </w:r>
      <w:r>
        <w:t>个视点就达到了目标，获得了最短路径、最低误差和最短运行时间。</w:t>
      </w:r>
      <w:r>
        <w:t xml:space="preserve"> </w:t>
      </w:r>
      <w:r>
        <w:t>统计分析证实，与排名第二的基线方法相比，本方法在重建误差方面的减少具有显著性（</w:t>
      </w:r>
      <w:r>
        <w:t>p &lt; 0.05</w:t>
      </w:r>
      <w:r>
        <w:t>），这表明其性能优势在随机初始化条件下依然稳健。</w:t>
      </w:r>
      <w:r>
        <w:t xml:space="preserve"> </w:t>
      </w:r>
    </w:p>
    <w:p w:rsidR="00D40F31" w:rsidRDefault="00D40F31" w:rsidP="00FA4C95">
      <w:pPr>
        <w:pStyle w:val="afb"/>
      </w:pPr>
      <w:r w:rsidRPr="00D40F31">
        <w:rPr>
          <w:noProof/>
        </w:rPr>
        <w:drawing>
          <wp:inline distT="0" distB="0" distL="0" distR="0" wp14:anchorId="6711188F" wp14:editId="4855C50C">
            <wp:extent cx="6185767" cy="3847606"/>
            <wp:effectExtent l="0" t="0" r="571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54665" cy="3890461"/>
                    </a:xfrm>
                    <a:prstGeom prst="rect">
                      <a:avLst/>
                    </a:prstGeom>
                  </pic:spPr>
                </pic:pic>
              </a:graphicData>
            </a:graphic>
          </wp:inline>
        </w:drawing>
      </w:r>
    </w:p>
    <w:p w:rsidR="00D40F31" w:rsidRDefault="00D40F31" w:rsidP="00FA4C95">
      <w:r>
        <w:t>这证实了视点数量的减少是过滤冗余的自然结果。通过使用精简的视点集实现最低误差，本方法验证了其结果导向的本质，证明了效率并不以牺牲精度为代价。</w:t>
      </w:r>
      <w:r>
        <w:t xml:space="preserve"> </w:t>
      </w:r>
    </w:p>
    <w:p w:rsidR="00D40F31" w:rsidRDefault="00D40F31" w:rsidP="00FA4C95">
      <w:r>
        <w:lastRenderedPageBreak/>
        <w:t>图</w:t>
      </w:r>
      <w:r>
        <w:t xml:space="preserve"> 15 </w:t>
      </w:r>
      <w:r>
        <w:t>展示了来自误差最低试验的重建误差的空间分布。</w:t>
      </w:r>
      <w:r>
        <w:t xml:space="preserve">Greedy-ΔC </w:t>
      </w:r>
      <w:r>
        <w:t>和</w:t>
      </w:r>
      <w:r>
        <w:t xml:space="preserve"> Random </w:t>
      </w:r>
      <w:r>
        <w:t>均未能有效优先处理高风险区域，导致叶片边缘出现明显的高误差带。尽管</w:t>
      </w:r>
      <w:r>
        <w:t xml:space="preserve"> Greedy-ΔC × φ × Path </w:t>
      </w:r>
      <w:r>
        <w:t>和</w:t>
      </w:r>
      <w:r>
        <w:t xml:space="preserve"> NSGA-II </w:t>
      </w:r>
      <w:r>
        <w:t>通过引入风险和路径权重或多目标优化在一定程度上减少了边缘遗漏，但在高风险区域仍存在显著误差。</w:t>
      </w:r>
      <w:r>
        <w:t xml:space="preserve"> FPS </w:t>
      </w:r>
      <w:r>
        <w:t>实现了整体均衡的覆盖；然而，由于缺乏对高风险区域的定向分配，其误差控制效果有限。相比之下，所提出的基于强化学习（</w:t>
      </w:r>
      <w:r>
        <w:t>RL</w:t>
      </w:r>
      <w:r>
        <w:t>）的方法实现了对高风险区域的优先覆盖，从而获得了最均匀的误差分布和最低的总体误差水平。</w:t>
      </w:r>
      <w:r>
        <w:t xml:space="preserve"> </w:t>
      </w:r>
    </w:p>
    <w:p w:rsidR="00D40F31" w:rsidRDefault="00D40F31" w:rsidP="00FA4C95">
      <w:pPr>
        <w:pStyle w:val="afb"/>
      </w:pPr>
      <w:r>
        <w:rPr>
          <w:noProof/>
        </w:rPr>
        <w:drawing>
          <wp:inline distT="0" distB="0" distL="0" distR="0" wp14:anchorId="3423BD08" wp14:editId="27CC84CD">
            <wp:extent cx="6424550" cy="311133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6" cstate="print"/>
                    <a:stretch>
                      <a:fillRect/>
                    </a:stretch>
                  </pic:blipFill>
                  <pic:spPr>
                    <a:xfrm>
                      <a:off x="0" y="0"/>
                      <a:ext cx="6463305" cy="3130104"/>
                    </a:xfrm>
                    <a:prstGeom prst="rect">
                      <a:avLst/>
                    </a:prstGeom>
                  </pic:spPr>
                </pic:pic>
              </a:graphicData>
            </a:graphic>
          </wp:inline>
        </w:drawing>
      </w:r>
    </w:p>
    <w:p w:rsidR="00D40F31" w:rsidRPr="00D40F31" w:rsidRDefault="00D40F31" w:rsidP="00FA4C95">
      <w:pPr>
        <w:pStyle w:val="afb"/>
      </w:pPr>
      <w:r>
        <w:rPr>
          <w:b/>
          <w:w w:val="110"/>
        </w:rPr>
        <w:t>图</w:t>
      </w:r>
      <w:r>
        <w:rPr>
          <w:b/>
          <w:w w:val="110"/>
        </w:rPr>
        <w:t xml:space="preserve"> 15.</w:t>
      </w:r>
      <w:r>
        <w:rPr>
          <w:w w:val="110"/>
        </w:rPr>
        <w:t xml:space="preserve"> </w:t>
      </w:r>
      <w:r>
        <w:rPr>
          <w:w w:val="110"/>
        </w:rPr>
        <w:t>不同精细视点规划</w:t>
      </w:r>
      <w:r>
        <w:rPr>
          <w:spacing w:val="-2"/>
          <w:w w:val="110"/>
        </w:rPr>
        <w:t>方法</w:t>
      </w:r>
      <w:r>
        <w:rPr>
          <w:w w:val="110"/>
        </w:rPr>
        <w:t>的重建误差分布</w:t>
      </w:r>
      <w:r>
        <w:rPr>
          <w:spacing w:val="-2"/>
          <w:w w:val="110"/>
        </w:rPr>
        <w:t>。</w:t>
      </w:r>
    </w:p>
    <w:p w:rsidR="00D40F31" w:rsidRDefault="00D40F31" w:rsidP="00FA4C95">
      <w:r>
        <w:t>如路径规划结果（图</w:t>
      </w:r>
      <w:r>
        <w:t xml:space="preserve"> 16</w:t>
      </w:r>
      <w:r>
        <w:t>）所示（该结果对应路径长度最小的实例），即使在相同的覆盖条件下，不同方法在路径结构复杂度和跳跃距离方面也表现出显著差异。由于缺乏路径优化，</w:t>
      </w:r>
      <w:r>
        <w:t>Greedy-ΔC</w:t>
      </w:r>
      <w:r>
        <w:t>、</w:t>
      </w:r>
      <w:r>
        <w:t xml:space="preserve">Random </w:t>
      </w:r>
      <w:r>
        <w:t>和</w:t>
      </w:r>
      <w:r>
        <w:t xml:space="preserve"> FPS </w:t>
      </w:r>
      <w:r>
        <w:t>生成了交叉点密集的长路径。</w:t>
      </w:r>
      <w:r>
        <w:t xml:space="preserve"> Greedy-ΔC × φ × Path </w:t>
      </w:r>
      <w:r>
        <w:t>和</w:t>
      </w:r>
      <w:r>
        <w:t xml:space="preserve"> NSGA-II </w:t>
      </w:r>
      <w:r>
        <w:t>显著减少了长距离跳跃，生成了更紧凑的轨迹；然而，其视点分配策略仍导致了路径冗余。相比之下，所提方法不仅确保了全面覆盖，还生成了最紧凑且连贯的路径结构，从而同时降低了总路径长度和区域间切换频率。</w:t>
      </w:r>
      <w:r>
        <w:t xml:space="preserve"> </w:t>
      </w:r>
    </w:p>
    <w:p w:rsidR="00D40F31" w:rsidRDefault="00A51526" w:rsidP="00FA4C95">
      <w:pPr>
        <w:pStyle w:val="afb"/>
      </w:pPr>
      <w:r>
        <w:rPr>
          <w:noProof/>
        </w:rPr>
        <w:lastRenderedPageBreak/>
        <w:drawing>
          <wp:inline distT="0" distB="0" distL="0" distR="0" wp14:anchorId="172F8B14" wp14:editId="4EDD7E70">
            <wp:extent cx="6032665" cy="4224130"/>
            <wp:effectExtent l="0" t="0" r="635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56662" cy="4240933"/>
                    </a:xfrm>
                    <a:prstGeom prst="rect">
                      <a:avLst/>
                    </a:prstGeom>
                    <a:noFill/>
                  </pic:spPr>
                </pic:pic>
              </a:graphicData>
            </a:graphic>
          </wp:inline>
        </w:drawing>
      </w:r>
    </w:p>
    <w:p w:rsidR="00D40F31" w:rsidRPr="00D40F31" w:rsidRDefault="00D40F31" w:rsidP="00FA4C95">
      <w:pPr>
        <w:pStyle w:val="afb"/>
      </w:pPr>
      <w:r>
        <w:rPr>
          <w:b/>
          <w:w w:val="115"/>
        </w:rPr>
        <w:t>图</w:t>
      </w:r>
      <w:r>
        <w:rPr>
          <w:b/>
          <w:w w:val="115"/>
        </w:rPr>
        <w:t xml:space="preserve"> 16.</w:t>
      </w:r>
      <w:r>
        <w:rPr>
          <w:w w:val="115"/>
        </w:rPr>
        <w:t xml:space="preserve"> </w:t>
      </w:r>
      <w:r>
        <w:rPr>
          <w:w w:val="115"/>
        </w:rPr>
        <w:t>不同视点规划</w:t>
      </w:r>
      <w:r>
        <w:rPr>
          <w:spacing w:val="-2"/>
          <w:w w:val="115"/>
        </w:rPr>
        <w:t>方法</w:t>
      </w:r>
      <w:r>
        <w:rPr>
          <w:w w:val="115"/>
        </w:rPr>
        <w:t>生成的路径结构</w:t>
      </w:r>
      <w:r>
        <w:rPr>
          <w:spacing w:val="-2"/>
          <w:w w:val="115"/>
        </w:rPr>
        <w:t>。</w:t>
      </w:r>
    </w:p>
    <w:p w:rsidR="00D40F31" w:rsidRDefault="00D40F31" w:rsidP="00FA4C95">
      <w:r>
        <w:t>如图</w:t>
      </w:r>
      <w:r>
        <w:t xml:space="preserve"> 17 </w:t>
      </w:r>
      <w:r>
        <w:t>所示，不同风险等级（</w:t>
      </w:r>
      <w:r>
        <w:t>L 1–L 4</w:t>
      </w:r>
      <w:r>
        <w:t>）下的覆盖率和重建误差对比表明，所提方法在所有区域中均能持续实现更高的覆盖率和最低的重建误差。其优势可归因于以下方面：</w:t>
      </w:r>
      <w:r>
        <w:t xml:space="preserve"> </w:t>
      </w:r>
    </w:p>
    <w:p w:rsidR="00A11189" w:rsidRPr="00A51526" w:rsidRDefault="00D40F31" w:rsidP="00FA4C95">
      <w:pPr>
        <w:pStyle w:val="a9"/>
        <w:numPr>
          <w:ilvl w:val="3"/>
          <w:numId w:val="1"/>
        </w:numPr>
        <w:ind w:firstLineChars="0"/>
      </w:pPr>
      <w:r w:rsidRPr="00A51526">
        <w:t>风险驱动的视点选择：通过在策略优化过程中纳入区域风险权重，所提方法在视点分配时优先考虑高风险区域。该机制在</w:t>
      </w:r>
      <w:r w:rsidRPr="00A51526">
        <w:t xml:space="preserve"> L 1 </w:t>
      </w:r>
      <w:r w:rsidRPr="00A51526">
        <w:t>和</w:t>
      </w:r>
      <w:r w:rsidRPr="00A51526">
        <w:t xml:space="preserve"> L 2 </w:t>
      </w:r>
      <w:r w:rsidRPr="00A51526">
        <w:t>区域尤为有效，不仅能保持近乎完整的覆盖率，还能显著降低局部</w:t>
      </w:r>
      <w:r w:rsidRPr="00A51526">
        <w:t xml:space="preserve"> CD </w:t>
      </w:r>
      <w:r w:rsidRPr="00A51526">
        <w:t>误差，避免因叶片边缘采样不足而产生的高误差带。</w:t>
      </w:r>
    </w:p>
    <w:p w:rsidR="008353D3" w:rsidRPr="00A51526" w:rsidRDefault="008353D3" w:rsidP="00FA4C95">
      <w:pPr>
        <w:pStyle w:val="a9"/>
        <w:numPr>
          <w:ilvl w:val="3"/>
          <w:numId w:val="1"/>
        </w:numPr>
        <w:ind w:firstLineChars="0"/>
      </w:pPr>
      <w:r w:rsidRPr="00A51526">
        <w:t>全局覆盖率与局部精度的平衡：在多个风险级别下，强化学习策略同时兼顾覆盖率提升与路径成本，从而在不牺牲覆盖率的前提下减少低风险区域的冗余采样。这为高风险区域释放了额外资源。因此，</w:t>
      </w:r>
      <w:r w:rsidRPr="00A51526">
        <w:t>L3</w:t>
      </w:r>
      <w:r w:rsidRPr="00A51526">
        <w:t>和</w:t>
      </w:r>
      <w:r w:rsidRPr="00A51526">
        <w:t>L4</w:t>
      </w:r>
      <w:r w:rsidRPr="00A51526">
        <w:t>区域既展现出稳定的高覆盖率，又保持了低误差，体现了该方法的动态平衡能力</w:t>
      </w:r>
    </w:p>
    <w:p w:rsidR="008353D3" w:rsidRPr="00A51526" w:rsidRDefault="008353D3" w:rsidP="00FA4C95">
      <w:pPr>
        <w:pStyle w:val="a9"/>
        <w:numPr>
          <w:ilvl w:val="3"/>
          <w:numId w:val="1"/>
        </w:numPr>
        <w:ind w:firstLineChars="0"/>
      </w:pPr>
      <w:r w:rsidRPr="00A51526">
        <w:t>路径感知策略：与依赖固定采样模式的</w:t>
      </w:r>
      <w:r w:rsidRPr="00A51526">
        <w:t>FPS</w:t>
      </w:r>
      <w:r w:rsidRPr="00A51526">
        <w:t>算法，或仅关注覆盖增益的贪婪算法不同，所提方法在决策过程中综合评估覆盖贡献、风险等级和路径切换成本。这减少了不必要的长距离跳跃和低效的视点选择，从而在所有风险等级下均实现了最优的覆盖率和精度。</w:t>
      </w:r>
    </w:p>
    <w:p w:rsidR="00D40F31" w:rsidRDefault="00D40F31" w:rsidP="00FA4C95">
      <w:pPr>
        <w:pStyle w:val="afb"/>
      </w:pPr>
      <w:r w:rsidRPr="00D40F31">
        <w:rPr>
          <w:noProof/>
        </w:rPr>
        <w:lastRenderedPageBreak/>
        <w:drawing>
          <wp:inline distT="0" distB="0" distL="0" distR="0" wp14:anchorId="5BC58CDC" wp14:editId="15D757E9">
            <wp:extent cx="5925787" cy="453530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31535" cy="4539702"/>
                    </a:xfrm>
                    <a:prstGeom prst="rect">
                      <a:avLst/>
                    </a:prstGeom>
                  </pic:spPr>
                </pic:pic>
              </a:graphicData>
            </a:graphic>
          </wp:inline>
        </w:drawing>
      </w:r>
    </w:p>
    <w:p w:rsidR="00D40F31" w:rsidRDefault="00D40F31" w:rsidP="00FA4C95">
      <w:pPr>
        <w:pStyle w:val="afb"/>
        <w:rPr>
          <w:w w:val="115"/>
        </w:rPr>
      </w:pPr>
      <w:r>
        <w:rPr>
          <w:b/>
          <w:w w:val="115"/>
        </w:rPr>
        <w:t>图</w:t>
      </w:r>
      <w:r>
        <w:rPr>
          <w:b/>
          <w:w w:val="115"/>
        </w:rPr>
        <w:t>17.</w:t>
      </w:r>
      <w:r>
        <w:rPr>
          <w:w w:val="115"/>
        </w:rPr>
        <w:t xml:space="preserve"> </w:t>
      </w:r>
      <w:r>
        <w:rPr>
          <w:w w:val="115"/>
        </w:rPr>
        <w:t>不同风险等级下重建性能的比较：</w:t>
      </w:r>
      <w:r>
        <w:rPr>
          <w:w w:val="115"/>
        </w:rPr>
        <w:t xml:space="preserve">(a) </w:t>
      </w:r>
      <w:r>
        <w:rPr>
          <w:i/>
          <w:w w:val="115"/>
        </w:rPr>
        <w:t>L</w:t>
      </w:r>
      <w:r>
        <w:rPr>
          <w:w w:val="115"/>
          <w:vertAlign w:val="subscript"/>
        </w:rPr>
        <w:t>1</w:t>
      </w:r>
      <w:r>
        <w:rPr>
          <w:w w:val="115"/>
        </w:rPr>
        <w:t>（最高风险）区域，覆盖率和</w:t>
      </w:r>
      <w:r>
        <w:rPr>
          <w:w w:val="115"/>
        </w:rPr>
        <w:t>CD</w:t>
      </w:r>
      <w:r>
        <w:rPr>
          <w:w w:val="115"/>
        </w:rPr>
        <w:t>；</w:t>
      </w:r>
      <w:r>
        <w:rPr>
          <w:w w:val="115"/>
        </w:rPr>
        <w:t xml:space="preserve">(b) </w:t>
      </w:r>
      <w:r>
        <w:rPr>
          <w:i/>
          <w:w w:val="115"/>
        </w:rPr>
        <w:t>L</w:t>
      </w:r>
      <w:r>
        <w:rPr>
          <w:w w:val="115"/>
          <w:vertAlign w:val="subscript"/>
        </w:rPr>
        <w:t>2</w:t>
      </w:r>
      <w:r>
        <w:rPr>
          <w:w w:val="115"/>
        </w:rPr>
        <w:t>区域，覆盖率和</w:t>
      </w:r>
      <w:r>
        <w:rPr>
          <w:w w:val="115"/>
        </w:rPr>
        <w:t>CD</w:t>
      </w:r>
      <w:r>
        <w:rPr>
          <w:w w:val="115"/>
        </w:rPr>
        <w:t>；</w:t>
      </w:r>
      <w:r>
        <w:rPr>
          <w:w w:val="115"/>
        </w:rPr>
        <w:t xml:space="preserve">(c) </w:t>
      </w:r>
      <w:r>
        <w:rPr>
          <w:i/>
          <w:w w:val="115"/>
        </w:rPr>
        <w:t>L</w:t>
      </w:r>
      <w:r>
        <w:rPr>
          <w:w w:val="115"/>
          <w:vertAlign w:val="subscript"/>
        </w:rPr>
        <w:t>3</w:t>
      </w:r>
      <w:r>
        <w:rPr>
          <w:w w:val="115"/>
        </w:rPr>
        <w:t>区域，覆盖率和</w:t>
      </w:r>
      <w:r>
        <w:rPr>
          <w:w w:val="115"/>
        </w:rPr>
        <w:t>CD</w:t>
      </w:r>
      <w:r>
        <w:rPr>
          <w:w w:val="115"/>
        </w:rPr>
        <w:t>；</w:t>
      </w:r>
      <w:r>
        <w:rPr>
          <w:w w:val="115"/>
        </w:rPr>
        <w:t xml:space="preserve">(d) </w:t>
      </w:r>
      <w:r>
        <w:rPr>
          <w:i/>
          <w:w w:val="115"/>
        </w:rPr>
        <w:t>L</w:t>
      </w:r>
      <w:r>
        <w:rPr>
          <w:w w:val="115"/>
          <w:vertAlign w:val="subscript"/>
        </w:rPr>
        <w:t>4</w:t>
      </w:r>
      <w:r>
        <w:rPr>
          <w:w w:val="115"/>
        </w:rPr>
        <w:t>（最低风险）区域，覆盖率和</w:t>
      </w:r>
      <w:r>
        <w:rPr>
          <w:w w:val="115"/>
        </w:rPr>
        <w:t>CD</w:t>
      </w:r>
      <w:r>
        <w:rPr>
          <w:w w:val="115"/>
        </w:rPr>
        <w:t>。</w:t>
      </w:r>
    </w:p>
    <w:p w:rsidR="008353D3" w:rsidRDefault="008353D3" w:rsidP="00FA4C95">
      <w:r>
        <w:t>综上所述，所提出的方法能够在大风险区域实现精细采样，在低风险区域实现高效覆盖，从而在风险分布极不均匀的复杂结构中，保持所有风险等级（</w:t>
      </w:r>
      <w:r>
        <w:t>L 1–L 4</w:t>
      </w:r>
      <w:r>
        <w:t>）下最低的重建误差和最均衡的覆盖率。</w:t>
      </w:r>
      <w:r>
        <w:t xml:space="preserve"> </w:t>
      </w:r>
    </w:p>
    <w:p w:rsidR="008353D3" w:rsidRDefault="008353D3" w:rsidP="00FA4C95">
      <w:pPr>
        <w:pStyle w:val="2"/>
        <w:spacing w:after="156"/>
        <w:ind w:firstLine="562"/>
      </w:pPr>
      <w:r>
        <w:t xml:space="preserve">4.4. </w:t>
      </w:r>
      <w:r>
        <w:t>消融研究</w:t>
      </w:r>
    </w:p>
    <w:p w:rsidR="008353D3" w:rsidRDefault="008353D3" w:rsidP="00FA4C95">
      <w:r>
        <w:t>如表</w:t>
      </w:r>
      <w:r>
        <w:t xml:space="preserve"> 5 </w:t>
      </w:r>
      <w:r>
        <w:t>所示，我们进行了一项</w:t>
      </w:r>
      <w:r>
        <w:t xml:space="preserve"> 2 × 2 </w:t>
      </w:r>
      <w:r>
        <w:t>因子实验，以评估风险驱动密度分配和遮挡扰动恢复的影响。</w:t>
      </w:r>
      <w:r>
        <w:t xml:space="preserve"> </w:t>
      </w:r>
      <w:r>
        <w:t>测试了四种变体：</w:t>
      </w:r>
      <w:r>
        <w:t>Full</w:t>
      </w:r>
      <w:r>
        <w:t>（</w:t>
      </w:r>
      <w:r>
        <w:t xml:space="preserve">φ + </w:t>
      </w:r>
      <w:r>
        <w:t>扰动）、</w:t>
      </w:r>
      <w:r>
        <w:t>–Risk</w:t>
      </w:r>
      <w:r>
        <w:t>（均匀密度）、</w:t>
      </w:r>
      <w:r>
        <w:t>–Perturb</w:t>
      </w:r>
      <w:r>
        <w:t>（无扰动）和</w:t>
      </w:r>
      <w:r>
        <w:t xml:space="preserve"> Double</w:t>
      </w:r>
      <w:r>
        <w:t>（均匀密度且无扰动）。除这两个因素外，所有其他流程均保持一致，以确保因果归因的有效性。</w:t>
      </w:r>
    </w:p>
    <w:p w:rsidR="008353D3" w:rsidRDefault="008353D3" w:rsidP="00FA4C95">
      <w:pPr>
        <w:pStyle w:val="afb"/>
      </w:pPr>
      <w:r w:rsidRPr="008353D3">
        <w:rPr>
          <w:noProof/>
        </w:rPr>
        <w:drawing>
          <wp:inline distT="0" distB="0" distL="0" distR="0" wp14:anchorId="41354C33" wp14:editId="6D9023CF">
            <wp:extent cx="4203865" cy="122866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01266" cy="1257132"/>
                    </a:xfrm>
                    <a:prstGeom prst="rect">
                      <a:avLst/>
                    </a:prstGeom>
                  </pic:spPr>
                </pic:pic>
              </a:graphicData>
            </a:graphic>
          </wp:inline>
        </w:drawing>
      </w:r>
    </w:p>
    <w:p w:rsidR="008353D3" w:rsidRDefault="008353D3" w:rsidP="00FA4C95">
      <w:r>
        <w:lastRenderedPageBreak/>
        <w:t>从图</w:t>
      </w:r>
      <w:r>
        <w:t xml:space="preserve"> 18 </w:t>
      </w:r>
      <w:r>
        <w:t>的比较结果来看，这两个模块在全局覆盖率和误差控制方面具有互补作用。</w:t>
      </w:r>
    </w:p>
    <w:p w:rsidR="008353D3" w:rsidRDefault="008353D3" w:rsidP="00FA4C95">
      <w:r>
        <w:t>当移除遮挡扰动时，即使</w:t>
      </w:r>
      <w:r>
        <w:t xml:space="preserve"> exhaust </w:t>
      </w:r>
      <w:r>
        <w:t>了所有候选视点，整体覆盖率仍无法达到</w:t>
      </w:r>
      <w:r>
        <w:t xml:space="preserve"> 95% </w:t>
      </w:r>
      <w:r>
        <w:t>的阈值（仅为</w:t>
      </w:r>
      <w:r>
        <w:t xml:space="preserve"> 86.39%</w:t>
      </w:r>
      <w:r>
        <w:t>）。如图</w:t>
      </w:r>
      <w:r>
        <w:t xml:space="preserve"> 19(a) </w:t>
      </w:r>
      <w:r>
        <w:t>所示，叶片边缘和深槽处出现了大片红色高误差区域，表明如果没有扰动恢复，被遮挡的区域无法被有效观测。</w:t>
      </w:r>
      <w:r>
        <w:t xml:space="preserve"> </w:t>
      </w:r>
      <w:r>
        <w:t>这表明，遮挡扰动模块对于确保全局覆盖的完整性并减少结构盲点至关重要。</w:t>
      </w:r>
      <w:r>
        <w:t xml:space="preserve"> </w:t>
      </w:r>
    </w:p>
    <w:p w:rsidR="008353D3" w:rsidRDefault="008353D3" w:rsidP="00FA4C95">
      <w:pPr>
        <w:pStyle w:val="afb"/>
      </w:pPr>
      <w:r>
        <w:rPr>
          <w:noProof/>
        </w:rPr>
        <w:drawing>
          <wp:inline distT="0" distB="0" distL="0" distR="0" wp14:anchorId="30F606B4" wp14:editId="696BFA2F">
            <wp:extent cx="3082788" cy="2234183"/>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60" cstate="print"/>
                    <a:stretch>
                      <a:fillRect/>
                    </a:stretch>
                  </pic:blipFill>
                  <pic:spPr>
                    <a:xfrm>
                      <a:off x="0" y="0"/>
                      <a:ext cx="3082788" cy="2234183"/>
                    </a:xfrm>
                    <a:prstGeom prst="rect">
                      <a:avLst/>
                    </a:prstGeom>
                  </pic:spPr>
                </pic:pic>
              </a:graphicData>
            </a:graphic>
          </wp:inline>
        </w:drawing>
      </w:r>
    </w:p>
    <w:p w:rsidR="008353D3" w:rsidRDefault="008353D3" w:rsidP="00FA4C95">
      <w:pPr>
        <w:pStyle w:val="afb"/>
      </w:pPr>
      <w:r>
        <w:rPr>
          <w:b/>
          <w:w w:val="115"/>
        </w:rPr>
        <w:t>图</w:t>
      </w:r>
      <w:r>
        <w:rPr>
          <w:b/>
          <w:w w:val="115"/>
        </w:rPr>
        <w:t xml:space="preserve"> 18.</w:t>
      </w:r>
      <w:r>
        <w:rPr>
          <w:w w:val="115"/>
        </w:rPr>
        <w:t xml:space="preserve"> </w:t>
      </w:r>
      <w:r>
        <w:rPr>
          <w:w w:val="115"/>
        </w:rPr>
        <w:t>不同变体之间的覆盖率和重建误差比较。</w:t>
      </w:r>
    </w:p>
    <w:p w:rsidR="008353D3" w:rsidRDefault="008353D3" w:rsidP="00FA4C95">
      <w:pPr>
        <w:pStyle w:val="afb"/>
      </w:pPr>
      <w:r>
        <w:rPr>
          <w:noProof/>
        </w:rPr>
        <w:drawing>
          <wp:inline distT="0" distB="0" distL="0" distR="0" wp14:anchorId="54D5A489" wp14:editId="23160A24">
            <wp:extent cx="4320965" cy="2039112"/>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61" cstate="print"/>
                    <a:stretch>
                      <a:fillRect/>
                    </a:stretch>
                  </pic:blipFill>
                  <pic:spPr>
                    <a:xfrm>
                      <a:off x="0" y="0"/>
                      <a:ext cx="4320965" cy="2039112"/>
                    </a:xfrm>
                    <a:prstGeom prst="rect">
                      <a:avLst/>
                    </a:prstGeom>
                  </pic:spPr>
                </pic:pic>
              </a:graphicData>
            </a:graphic>
          </wp:inline>
        </w:drawing>
      </w:r>
    </w:p>
    <w:p w:rsidR="008353D3" w:rsidRDefault="008353D3" w:rsidP="00FA4C95">
      <w:pPr>
        <w:pStyle w:val="afb"/>
      </w:pPr>
      <w:r>
        <w:rPr>
          <w:b/>
          <w:w w:val="110"/>
        </w:rPr>
        <w:t>图</w:t>
      </w:r>
      <w:r>
        <w:rPr>
          <w:b/>
          <w:w w:val="110"/>
        </w:rPr>
        <w:t xml:space="preserve"> 19. </w:t>
      </w:r>
      <w:r>
        <w:rPr>
          <w:w w:val="110"/>
        </w:rPr>
        <w:t xml:space="preserve">(a) </w:t>
      </w:r>
      <w:r>
        <w:rPr>
          <w:w w:val="110"/>
        </w:rPr>
        <w:t>移除扰动模块（</w:t>
      </w:r>
      <w:r>
        <w:rPr>
          <w:w w:val="110"/>
        </w:rPr>
        <w:t>–Perturb</w:t>
      </w:r>
      <w:r>
        <w:rPr>
          <w:w w:val="110"/>
        </w:rPr>
        <w:t>）后的重建误差分布</w:t>
      </w:r>
      <w:r>
        <w:rPr>
          <w:w w:val="110"/>
        </w:rPr>
        <w:t xml:space="preserve"> (b) </w:t>
      </w:r>
      <w:r>
        <w:rPr>
          <w:w w:val="110"/>
        </w:rPr>
        <w:t>未进行风险加权（</w:t>
      </w:r>
      <w:r>
        <w:rPr>
          <w:w w:val="110"/>
        </w:rPr>
        <w:t>–Risk</w:t>
      </w:r>
      <w:r>
        <w:rPr>
          <w:w w:val="110"/>
        </w:rPr>
        <w:t>）时的重建误差分布。</w:t>
      </w:r>
    </w:p>
    <w:p w:rsidR="008353D3" w:rsidRDefault="003F79C2" w:rsidP="00FA4C95">
      <w:pPr>
        <w:pStyle w:val="afb"/>
      </w:pPr>
      <w:r>
        <w:rPr>
          <w:noProof/>
        </w:rPr>
        <w:lastRenderedPageBreak/>
        <w:drawing>
          <wp:inline distT="0" distB="0" distL="0" distR="0" wp14:anchorId="18BCE658" wp14:editId="408FEF57">
            <wp:extent cx="5761355" cy="22193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1355" cy="2219325"/>
                    </a:xfrm>
                    <a:prstGeom prst="rect">
                      <a:avLst/>
                    </a:prstGeom>
                    <a:noFill/>
                  </pic:spPr>
                </pic:pic>
              </a:graphicData>
            </a:graphic>
          </wp:inline>
        </w:drawing>
      </w:r>
    </w:p>
    <w:p w:rsidR="003F79C2" w:rsidRPr="003F79C2" w:rsidRDefault="003F79C2" w:rsidP="00FA4C95">
      <w:pPr>
        <w:pStyle w:val="afb"/>
      </w:pPr>
      <w:r>
        <w:rPr>
          <w:b/>
          <w:w w:val="115"/>
        </w:rPr>
        <w:t>图</w:t>
      </w:r>
      <w:r>
        <w:rPr>
          <w:b/>
          <w:w w:val="115"/>
        </w:rPr>
        <w:t>20.</w:t>
      </w:r>
      <w:r>
        <w:rPr>
          <w:w w:val="115"/>
        </w:rPr>
        <w:t xml:space="preserve"> </w:t>
      </w:r>
      <w:r>
        <w:rPr>
          <w:w w:val="115"/>
        </w:rPr>
        <w:t>叶轮和风扇</w:t>
      </w:r>
      <w:r>
        <w:rPr>
          <w:spacing w:val="-2"/>
          <w:w w:val="115"/>
        </w:rPr>
        <w:t>模型</w:t>
      </w:r>
      <w:r>
        <w:rPr>
          <w:w w:val="115"/>
        </w:rPr>
        <w:t>的视点规划流程图</w:t>
      </w:r>
      <w:r>
        <w:rPr>
          <w:spacing w:val="-2"/>
          <w:w w:val="115"/>
        </w:rPr>
        <w:t>。</w:t>
      </w:r>
    </w:p>
    <w:p w:rsidR="008353D3" w:rsidRDefault="008353D3" w:rsidP="00FA4C95">
      <w:r>
        <w:t>当去除风险加权后，整体覆盖率和高风险区域覆盖率均达到阈值，但全局</w:t>
      </w:r>
      <w:r>
        <w:t>CD</w:t>
      </w:r>
      <w:r>
        <w:t>值增加了约</w:t>
      </w:r>
      <w:r>
        <w:t>60.7%</w:t>
      </w:r>
      <w:r>
        <w:t>，</w:t>
      </w:r>
      <w:r>
        <w:t>L1</w:t>
      </w:r>
      <w:r>
        <w:t>区域的</w:t>
      </w:r>
      <w:r>
        <w:t>CD</w:t>
      </w:r>
      <w:r>
        <w:t>值增加了约</w:t>
      </w:r>
      <w:r>
        <w:t>121%</w:t>
      </w:r>
      <w:r>
        <w:t>。图</w:t>
      </w:r>
      <w:r>
        <w:t>19(b)</w:t>
      </w:r>
      <w:r>
        <w:t>显示，叶片边缘附近的重建误差显著增大，这表明风险加权模块在保持完整覆盖的同时，有效降低了高风险区域的重建误差，并大幅提高了边缘精度。</w:t>
      </w:r>
      <w:r>
        <w:t xml:space="preserve"> </w:t>
      </w:r>
    </w:p>
    <w:p w:rsidR="008353D3" w:rsidRDefault="008353D3" w:rsidP="00FA4C95">
      <w:r>
        <w:t>综上所述，遮挡扰动模块主要确保全局覆盖率和结构完整性，而风险权重模块则提升了高风险边缘区域的重建精度。两者的结合既保证了高精度，又实现了完全覆盖，从而达到了卓越的检测性能。</w:t>
      </w:r>
      <w:r>
        <w:t xml:space="preserve"> </w:t>
      </w:r>
    </w:p>
    <w:p w:rsidR="008353D3" w:rsidRDefault="008353D3" w:rsidP="00FA4C95">
      <w:pPr>
        <w:pStyle w:val="2"/>
        <w:spacing w:after="156"/>
        <w:ind w:firstLine="562"/>
      </w:pPr>
      <w:r>
        <w:t xml:space="preserve">4.5. </w:t>
      </w:r>
      <w:r>
        <w:t>泛化实验</w:t>
      </w:r>
      <w:r>
        <w:t xml:space="preserve"> </w:t>
      </w:r>
    </w:p>
    <w:p w:rsidR="008353D3" w:rsidRDefault="008353D3" w:rsidP="00FA4C95">
      <w:r>
        <w:t>为了评估所提方法在结构相似但不同的旋转叶片部件上的适应性和鲁棒性，选取了两个具有代表性的外部模型进行泛化实验：离心叶轮和轴流风机。对于轴流风机，仅对单个表面进行了检测；而对于离心叶轮，则对两个表面均进行了检测。</w:t>
      </w:r>
      <w:r>
        <w:t xml:space="preserve"> </w:t>
      </w:r>
      <w:r>
        <w:t>两个模型均按比例缩放以匹配参考叶盘模型，从而在保留几何差异的同时，确保工作距离、扰动范围和风险等级密度等关键参数与主要实验保持一致，无需额外调整。如图</w:t>
      </w:r>
      <w:r>
        <w:t xml:space="preserve"> 20 </w:t>
      </w:r>
      <w:r>
        <w:t>所示，实验流程与主要实验完全相同，仅替换了模型。</w:t>
      </w:r>
      <w:r>
        <w:t xml:space="preserve"> </w:t>
      </w:r>
      <w:r>
        <w:t>在统一比例下，重新使用了原始参数和处理工作流，包括网格预处理、候选视点生成、遮挡扰动以及精细规划策略推理。所有基线方法和所提方法均在相同条件下执行，以确保公平比较。</w:t>
      </w:r>
      <w:r>
        <w:t xml:space="preserve"> </w:t>
      </w:r>
    </w:p>
    <w:p w:rsidR="003F79C2" w:rsidRDefault="008353D3" w:rsidP="00FA4C95">
      <w:r>
        <w:t>评估指标和终止条件与主实验保持一致。当全局覆盖率达到</w:t>
      </w:r>
      <w:r>
        <w:t xml:space="preserve"> C ≥ 95% </w:t>
      </w:r>
      <w:r>
        <w:t>时，采样过程即告终止，并记录各方法在此阈值下的关键性能指标。评估指标</w:t>
      </w:r>
      <w:r>
        <w:t xml:space="preserve"> </w:t>
      </w:r>
      <w:r>
        <w:t>包括视点数量</w:t>
      </w:r>
      <w:r>
        <w:t xml:space="preserve"> </w:t>
      </w:r>
      <w:r w:rsidR="003F79C2">
        <w:t>(Nv)</w:t>
      </w:r>
      <w:r w:rsidR="003F79C2">
        <w:t>、路径长度、高风险区域覆盖率</w:t>
      </w:r>
      <w:r w:rsidR="003F79C2">
        <w:t xml:space="preserve"> (L1 </w:t>
      </w:r>
      <w:r w:rsidR="003F79C2">
        <w:t>和</w:t>
      </w:r>
      <w:r w:rsidR="003F79C2">
        <w:t xml:space="preserve"> L2)</w:t>
      </w:r>
      <w:r w:rsidR="003F79C2">
        <w:t>，以及通过</w:t>
      </w:r>
      <w:r w:rsidR="003F79C2">
        <w:t xml:space="preserve"> CD </w:t>
      </w:r>
      <w:r w:rsidR="003F79C2">
        <w:t>测量的重建精度。</w:t>
      </w:r>
      <w:r w:rsidR="003F79C2">
        <w:t xml:space="preserve"> </w:t>
      </w:r>
      <w:r w:rsidR="003F79C2">
        <w:t>所有方法均在不同的随机种子下执行五次，结果以均值</w:t>
      </w:r>
      <w:r w:rsidR="003F79C2">
        <w:t xml:space="preserve"> ± </w:t>
      </w:r>
      <w:r w:rsidR="003F79C2">
        <w:t>标准差的形式报告以便比较。在适用情况下，针对同一组随机种子，与最佳基线方法进行了双侧配对显著性检验（</w:t>
      </w:r>
      <w:r w:rsidR="003F79C2">
        <w:t>p &lt; 0.05</w:t>
      </w:r>
      <w:r w:rsidR="003F79C2">
        <w:t>）。</w:t>
      </w:r>
    </w:p>
    <w:p w:rsidR="003F79C2" w:rsidRDefault="003F79C2" w:rsidP="00FA4C95">
      <w:r>
        <w:t>表</w:t>
      </w:r>
      <w:r>
        <w:t xml:space="preserve"> 6 </w:t>
      </w:r>
      <w:r>
        <w:t>表明，当应用于两个几何结构截然不同的模型（即风扇（单面检测）和叶轮（双面检测））时，所提出的方法始终保持着与主要实验中相同的性能优势，从而展现了强大的跨模型泛化能力。</w:t>
      </w:r>
      <w:r>
        <w:t xml:space="preserve"> </w:t>
      </w:r>
      <w:r>
        <w:t>对于风扇模型，与最佳的非风险驱动方法相比，</w:t>
      </w:r>
      <w:r>
        <w:t>L1</w:t>
      </w:r>
      <w:r>
        <w:t>覆盖率提高了</w:t>
      </w:r>
      <w:r>
        <w:t>10.54%</w:t>
      </w:r>
      <w:r>
        <w:t>，</w:t>
      </w:r>
      <w:r>
        <w:t>L2</w:t>
      </w:r>
      <w:r>
        <w:t>覆盖率提高了</w:t>
      </w:r>
      <w:r>
        <w:t>2.28%</w:t>
      </w:r>
      <w:r>
        <w:t>。</w:t>
      </w:r>
      <w:r>
        <w:t xml:space="preserve"> </w:t>
      </w:r>
      <w:r>
        <w:lastRenderedPageBreak/>
        <w:t>对于叶轮模型，</w:t>
      </w:r>
      <w:r>
        <w:t xml:space="preserve">L1 </w:t>
      </w:r>
      <w:r>
        <w:t>覆盖率提高了</w:t>
      </w:r>
      <w:r>
        <w:t xml:space="preserve"> 9.47%</w:t>
      </w:r>
      <w:r>
        <w:t>，</w:t>
      </w:r>
      <w:r>
        <w:t xml:space="preserve">L2 </w:t>
      </w:r>
      <w:r>
        <w:t>覆盖率提高了</w:t>
      </w:r>
      <w:r>
        <w:t xml:space="preserve"> 7.31%</w:t>
      </w:r>
      <w:r>
        <w:t>。尽管与</w:t>
      </w:r>
      <w:r>
        <w:t xml:space="preserve"> Greedy-ΔC </w:t>
      </w:r>
      <w:r>
        <w:t>相比，风险引导策略可能会使视点数量增加约</w:t>
      </w:r>
      <w:r>
        <w:t xml:space="preserve"> 2.8%</w:t>
      </w:r>
      <w:r>
        <w:t>，但路径优化的整合显著减少了总路径长度约</w:t>
      </w:r>
      <w:r>
        <w:t xml:space="preserve"> 80%</w:t>
      </w:r>
      <w:r>
        <w:t>，从而确保了高扫描效率。</w:t>
      </w:r>
      <w:r>
        <w:t xml:space="preserve"> </w:t>
      </w:r>
      <w:r>
        <w:t>结合图</w:t>
      </w:r>
      <w:r>
        <w:t>21</w:t>
      </w:r>
      <w:r>
        <w:t>所示的</w:t>
      </w:r>
      <w:r>
        <w:t>L1–L4</w:t>
      </w:r>
      <w:r>
        <w:t>区域内的</w:t>
      </w:r>
      <w:r>
        <w:t>CD</w:t>
      </w:r>
      <w:r>
        <w:t>误差分布，可以进一步观察到，这种性能优势不仅限于高风险区域，还延伸至中低风险区域，在这些区域中，重建误差始终保持在较低水平。</w:t>
      </w:r>
    </w:p>
    <w:p w:rsidR="003F79C2" w:rsidRDefault="003F79C2" w:rsidP="00FA4C95">
      <w:r w:rsidRPr="003F79C2">
        <w:rPr>
          <w:noProof/>
        </w:rPr>
        <w:drawing>
          <wp:inline distT="0" distB="0" distL="0" distR="0" wp14:anchorId="08D22737" wp14:editId="2DC3D477">
            <wp:extent cx="4076706" cy="4429497"/>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37866" cy="4495950"/>
                    </a:xfrm>
                    <a:prstGeom prst="rect">
                      <a:avLst/>
                    </a:prstGeom>
                  </pic:spPr>
                </pic:pic>
              </a:graphicData>
            </a:graphic>
          </wp:inline>
        </w:drawing>
      </w:r>
    </w:p>
    <w:p w:rsidR="003F79C2" w:rsidRDefault="003F79C2" w:rsidP="00FA4C95">
      <w:r w:rsidRPr="003F79C2">
        <w:rPr>
          <w:noProof/>
        </w:rPr>
        <w:drawing>
          <wp:inline distT="0" distB="0" distL="0" distR="0" wp14:anchorId="5566D91B" wp14:editId="7E3C9CC4">
            <wp:extent cx="5208104" cy="2106612"/>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43431" cy="2120901"/>
                    </a:xfrm>
                    <a:prstGeom prst="rect">
                      <a:avLst/>
                    </a:prstGeom>
                  </pic:spPr>
                </pic:pic>
              </a:graphicData>
            </a:graphic>
          </wp:inline>
        </w:drawing>
      </w:r>
    </w:p>
    <w:p w:rsidR="003F79C2" w:rsidRPr="00C34E36" w:rsidRDefault="003F79C2" w:rsidP="00FA4C95">
      <w:pPr>
        <w:pStyle w:val="afb"/>
        <w:rPr>
          <w:spacing w:val="-2"/>
          <w:w w:val="115"/>
        </w:rPr>
      </w:pPr>
      <w:r>
        <w:rPr>
          <w:b/>
          <w:w w:val="115"/>
        </w:rPr>
        <w:t>图</w:t>
      </w:r>
      <w:r>
        <w:rPr>
          <w:b/>
          <w:w w:val="115"/>
        </w:rPr>
        <w:t xml:space="preserve"> 21.</w:t>
      </w:r>
      <w:r>
        <w:rPr>
          <w:w w:val="115"/>
        </w:rPr>
        <w:t xml:space="preserve"> </w:t>
      </w:r>
      <w:r>
        <w:rPr>
          <w:w w:val="115"/>
        </w:rPr>
        <w:t>不同算法在各风险等级下的重建误差分布：（</w:t>
      </w:r>
      <w:r>
        <w:rPr>
          <w:w w:val="115"/>
        </w:rPr>
        <w:t>a</w:t>
      </w:r>
      <w:r>
        <w:rPr>
          <w:w w:val="115"/>
        </w:rPr>
        <w:t>）风扇模型；（</w:t>
      </w:r>
      <w:r>
        <w:rPr>
          <w:w w:val="115"/>
        </w:rPr>
        <w:t>b</w:t>
      </w:r>
      <w:r>
        <w:rPr>
          <w:w w:val="115"/>
        </w:rPr>
        <w:t>）叶轮</w:t>
      </w:r>
      <w:r>
        <w:rPr>
          <w:spacing w:val="-2"/>
          <w:w w:val="115"/>
        </w:rPr>
        <w:t>模型。</w:t>
      </w:r>
    </w:p>
    <w:p w:rsidR="003F79C2" w:rsidRDefault="003F79C2" w:rsidP="00FA4C95">
      <w:pPr>
        <w:pStyle w:val="2"/>
        <w:spacing w:after="156"/>
        <w:ind w:firstLine="562"/>
      </w:pPr>
      <w:r>
        <w:lastRenderedPageBreak/>
        <w:t xml:space="preserve">4.6. </w:t>
      </w:r>
      <w:r>
        <w:t>实际实验</w:t>
      </w:r>
      <w:r>
        <w:t xml:space="preserve"> </w:t>
      </w:r>
    </w:p>
    <w:p w:rsidR="003F79C2" w:rsidRDefault="003F79C2" w:rsidP="00FA4C95">
      <w:r>
        <w:t>为了验证所提出的视角规划策略在物理结构光检测系统上的实用性和</w:t>
      </w:r>
      <w:r>
        <w:t>“Sim2Real”</w:t>
      </w:r>
      <w:r>
        <w:t>一致性，针对三个叶盘总成（图</w:t>
      </w:r>
      <w:r>
        <w:t>22</w:t>
      </w:r>
      <w:r>
        <w:t>）进行了实际扫描实验。每个总成包含九片叶片（共计</w:t>
      </w:r>
      <w:r>
        <w:t>27</w:t>
      </w:r>
      <w:r>
        <w:t>片）。</w:t>
      </w:r>
      <w:r>
        <w:t xml:space="preserve"> </w:t>
      </w:r>
      <w:r>
        <w:t>每个组件中，有三片叶片为金属材质，六片为树脂复制品，从而使评估既涵盖真实的金属成像特性，又能在相同条件下对多样化样本进行重复测试。所有样本均在同一平台上，采用统一的采集参数进行测量。整体流程包括：视点规划、机器人执行与数据采集、多视图配准与融合，以及度量计算，重点关注覆盖质量、拼接稳定性和重建精度。</w:t>
      </w:r>
    </w:p>
    <w:p w:rsidR="003F79C2" w:rsidRDefault="003F79C2" w:rsidP="00FA4C95">
      <w:r>
        <w:t>如图</w:t>
      </w:r>
      <w:r>
        <w:t xml:space="preserve"> 23 </w:t>
      </w:r>
      <w:r>
        <w:t>所示，实验装置由一台</w:t>
      </w:r>
      <w:r>
        <w:t xml:space="preserve"> 6 </w:t>
      </w:r>
      <w:r>
        <w:t>自由度工业机械臂、一个结构光扫描单元、一个转盘和线性平台以及一台控制计算机组成。转盘和平台仅用于扫描前的参考定位和机械锁定；锁定后，它们在整个采集过程中保持静止。</w:t>
      </w:r>
      <w:r>
        <w:t xml:space="preserve"> </w:t>
      </w:r>
      <w:r>
        <w:t>图</w:t>
      </w:r>
      <w:r>
        <w:t>24</w:t>
      </w:r>
      <w:r>
        <w:t>总结了数据采集流程：机器人依次到达每个预定姿态，执行条纹投影和图像采集，并重建一个密集的单视图点云，为后续的多视图配准与融合提供输入。</w:t>
      </w:r>
      <w:r>
        <w:t xml:space="preserve"> </w:t>
      </w:r>
    </w:p>
    <w:p w:rsidR="003F79C2" w:rsidRDefault="003F79C2" w:rsidP="00FA4C95">
      <w:r>
        <w:t>所有捕获的点云均被转换到统一坐标系中，并通过刚体配准进行融合，从而获得完整的再构叶盘（图</w:t>
      </w:r>
      <w:r>
        <w:t>25</w:t>
      </w:r>
      <w:r>
        <w:t>）。叶片的周向排列和盘面轮廓仍清晰可辨，且大部分叶片表面均被连续覆盖。稀疏或缺失区域主要出现在盘面内侧附近及少数严重遮挡的位置，而整体叶盘级几何形状仍足以进行定量评估。</w:t>
      </w:r>
      <w:r>
        <w:t xml:space="preserve"> </w:t>
      </w:r>
    </w:p>
    <w:p w:rsidR="003F79C2" w:rsidRDefault="003F79C2" w:rsidP="00FA4C95">
      <w:r>
        <w:t>为了定量评估几何一致性，将融合后的点云与参考模型对齐，并利用最近邻统计法（</w:t>
      </w:r>
      <w:r>
        <w:t>C2C</w:t>
      </w:r>
      <w:r>
        <w:t>）计算点对点的绝对偏差，从而得到图</w:t>
      </w:r>
      <w:r>
        <w:t>26</w:t>
      </w:r>
      <w:r>
        <w:t>所示的空间误差分布。</w:t>
      </w:r>
      <w:r>
        <w:t xml:space="preserve"> </w:t>
      </w:r>
      <w:r>
        <w:t>偏差在空间上并不均匀：大多数外叶片表面误差较小，表明多视图一致性稳定；较高的偏差和缺失数据</w:t>
      </w:r>
      <w:r>
        <w:t xml:space="preserve"> </w:t>
      </w:r>
      <w:r>
        <w:t>主要集中在</w:t>
      </w:r>
      <w:r>
        <w:t xml:space="preserve"> (i) </w:t>
      </w:r>
      <w:r>
        <w:t>叶片根部过渡区，该区域的曲率变化与遮挡相结合，减少了有效观测；以及</w:t>
      </w:r>
      <w:r>
        <w:t xml:space="preserve"> (ii) </w:t>
      </w:r>
      <w:r>
        <w:t>狭窄的叶片间隙，该区域的自遮挡削弱了可见性约束，导致局部稀疏或缺失。</w:t>
      </w:r>
      <w:r>
        <w:t xml:space="preserve"> </w:t>
      </w:r>
      <w:r>
        <w:t>因此，高误差区域主要呈结构性聚集，而非随机分散。</w:t>
      </w:r>
      <w:r>
        <w:t xml:space="preserve"> </w:t>
      </w:r>
    </w:p>
    <w:p w:rsidR="00C34E36" w:rsidRDefault="00C34E36" w:rsidP="00FA4C95">
      <w:r>
        <w:rPr>
          <w:noProof/>
        </w:rPr>
        <w:drawing>
          <wp:inline distT="0" distB="0" distL="0" distR="0" wp14:anchorId="2BE5E81D" wp14:editId="20FDE839">
            <wp:extent cx="2280062" cy="2164014"/>
            <wp:effectExtent l="0" t="0" r="635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14420" cy="2196624"/>
                    </a:xfrm>
                    <a:prstGeom prst="rect">
                      <a:avLst/>
                    </a:prstGeom>
                    <a:noFill/>
                  </pic:spPr>
                </pic:pic>
              </a:graphicData>
            </a:graphic>
          </wp:inline>
        </w:drawing>
      </w:r>
      <w:r>
        <w:rPr>
          <w:rFonts w:hint="eastAsia"/>
        </w:rPr>
        <w:t xml:space="preserve"> </w:t>
      </w:r>
      <w:r>
        <w:t xml:space="preserve">       </w:t>
      </w:r>
      <w:r>
        <w:rPr>
          <w:noProof/>
        </w:rPr>
        <w:lastRenderedPageBreak/>
        <w:drawing>
          <wp:inline distT="0" distB="0" distL="0" distR="0" wp14:anchorId="32CCE130" wp14:editId="080E1DBE">
            <wp:extent cx="3230088" cy="2009449"/>
            <wp:effectExtent l="0" t="0" r="889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53732" cy="2024158"/>
                    </a:xfrm>
                    <a:prstGeom prst="rect">
                      <a:avLst/>
                    </a:prstGeom>
                    <a:noFill/>
                  </pic:spPr>
                </pic:pic>
              </a:graphicData>
            </a:graphic>
          </wp:inline>
        </w:drawing>
      </w:r>
    </w:p>
    <w:p w:rsidR="00C34E36" w:rsidRDefault="00C34E36" w:rsidP="00FA4C95">
      <w:pPr>
        <w:pStyle w:val="afb"/>
      </w:pPr>
      <w:r>
        <w:rPr>
          <w:b/>
          <w:w w:val="115"/>
        </w:rPr>
        <w:t>图</w:t>
      </w:r>
      <w:r>
        <w:rPr>
          <w:b/>
          <w:w w:val="115"/>
        </w:rPr>
        <w:t xml:space="preserve"> 22.</w:t>
      </w:r>
      <w:r>
        <w:rPr>
          <w:w w:val="115"/>
        </w:rPr>
        <w:t xml:space="preserve"> </w:t>
      </w:r>
      <w:r>
        <w:rPr>
          <w:w w:val="115"/>
        </w:rPr>
        <w:t>用于</w:t>
      </w:r>
      <w:r>
        <w:rPr>
          <w:spacing w:val="-2"/>
          <w:w w:val="115"/>
        </w:rPr>
        <w:t>评估</w:t>
      </w:r>
      <w:r>
        <w:rPr>
          <w:w w:val="115"/>
        </w:rPr>
        <w:t>的实际叶盘样本</w:t>
      </w:r>
      <w:r>
        <w:rPr>
          <w:spacing w:val="-2"/>
          <w:w w:val="115"/>
        </w:rPr>
        <w:t>。</w:t>
      </w:r>
      <w:r>
        <w:rPr>
          <w:b/>
          <w:w w:val="115"/>
        </w:rPr>
        <w:t>图</w:t>
      </w:r>
      <w:r>
        <w:rPr>
          <w:b/>
          <w:w w:val="115"/>
        </w:rPr>
        <w:t xml:space="preserve"> 22.</w:t>
      </w:r>
      <w:r>
        <w:rPr>
          <w:w w:val="115"/>
        </w:rPr>
        <w:t xml:space="preserve"> </w:t>
      </w:r>
      <w:r>
        <w:rPr>
          <w:w w:val="115"/>
        </w:rPr>
        <w:t>用于</w:t>
      </w:r>
      <w:r>
        <w:rPr>
          <w:spacing w:val="-2"/>
          <w:w w:val="115"/>
        </w:rPr>
        <w:t>评估</w:t>
      </w:r>
      <w:r>
        <w:rPr>
          <w:w w:val="115"/>
        </w:rPr>
        <w:t>的实际叶盘样本</w:t>
      </w:r>
      <w:r>
        <w:rPr>
          <w:spacing w:val="-2"/>
          <w:w w:val="115"/>
        </w:rPr>
        <w:t>。</w:t>
      </w:r>
    </w:p>
    <w:p w:rsidR="00A51526" w:rsidRDefault="00C34E36" w:rsidP="00FA4C95">
      <w:r>
        <w:rPr>
          <w:noProof/>
        </w:rPr>
        <w:drawing>
          <wp:inline distT="0" distB="0" distL="0" distR="0" wp14:anchorId="725CFF5E" wp14:editId="10FA8EC0">
            <wp:extent cx="4120738" cy="167888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48063" cy="1690015"/>
                    </a:xfrm>
                    <a:prstGeom prst="rect">
                      <a:avLst/>
                    </a:prstGeom>
                    <a:noFill/>
                  </pic:spPr>
                </pic:pic>
              </a:graphicData>
            </a:graphic>
          </wp:inline>
        </w:drawing>
      </w:r>
    </w:p>
    <w:p w:rsidR="00A51526" w:rsidRDefault="00A51526" w:rsidP="00FA4C95">
      <w:pPr>
        <w:pStyle w:val="afb"/>
        <w:rPr>
          <w:spacing w:val="-2"/>
          <w:w w:val="115"/>
        </w:rPr>
      </w:pPr>
      <w:r>
        <w:rPr>
          <w:b/>
          <w:w w:val="115"/>
        </w:rPr>
        <w:t>图</w:t>
      </w:r>
      <w:r>
        <w:rPr>
          <w:b/>
          <w:w w:val="115"/>
        </w:rPr>
        <w:t xml:space="preserve"> 24.</w:t>
      </w:r>
      <w:r>
        <w:rPr>
          <w:w w:val="115"/>
        </w:rPr>
        <w:t xml:space="preserve"> </w:t>
      </w:r>
      <w:r>
        <w:rPr>
          <w:w w:val="115"/>
        </w:rPr>
        <w:t>用于</w:t>
      </w:r>
      <w:r>
        <w:rPr>
          <w:spacing w:val="-2"/>
          <w:w w:val="115"/>
        </w:rPr>
        <w:t>评估</w:t>
      </w:r>
      <w:r>
        <w:rPr>
          <w:w w:val="115"/>
        </w:rPr>
        <w:t>的实际叶盘样本</w:t>
      </w:r>
      <w:r>
        <w:rPr>
          <w:spacing w:val="-2"/>
          <w:w w:val="115"/>
        </w:rPr>
        <w:t>。</w:t>
      </w:r>
    </w:p>
    <w:p w:rsidR="00C34E36" w:rsidRDefault="00C34E36" w:rsidP="00FA4C95">
      <w:r>
        <w:rPr>
          <w:noProof/>
        </w:rPr>
        <w:drawing>
          <wp:inline distT="0" distB="0" distL="0" distR="0" wp14:anchorId="098AB8F6" wp14:editId="7403CF0D">
            <wp:extent cx="2398816" cy="2238470"/>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13269" cy="2251956"/>
                    </a:xfrm>
                    <a:prstGeom prst="rect">
                      <a:avLst/>
                    </a:prstGeom>
                    <a:noFill/>
                  </pic:spPr>
                </pic:pic>
              </a:graphicData>
            </a:graphic>
          </wp:inline>
        </w:drawing>
      </w:r>
    </w:p>
    <w:p w:rsidR="00C34E36" w:rsidRDefault="00C34E36" w:rsidP="00FA4C95">
      <w:pPr>
        <w:pStyle w:val="afb"/>
        <w:rPr>
          <w:spacing w:val="-2"/>
          <w:w w:val="110"/>
        </w:rPr>
      </w:pPr>
      <w:r>
        <w:rPr>
          <w:b/>
          <w:w w:val="110"/>
        </w:rPr>
        <w:t>图</w:t>
      </w:r>
      <w:r>
        <w:rPr>
          <w:b/>
          <w:w w:val="110"/>
        </w:rPr>
        <w:t xml:space="preserve"> 25.</w:t>
      </w:r>
      <w:r>
        <w:rPr>
          <w:w w:val="110"/>
        </w:rPr>
        <w:t xml:space="preserve"> </w:t>
      </w:r>
      <w:r>
        <w:rPr>
          <w:w w:val="110"/>
        </w:rPr>
        <w:t>融合后的叶盘点</w:t>
      </w:r>
      <w:r>
        <w:rPr>
          <w:spacing w:val="-2"/>
          <w:w w:val="110"/>
        </w:rPr>
        <w:t>云。</w:t>
      </w:r>
    </w:p>
    <w:p w:rsidR="00C34E36" w:rsidRDefault="00C34E36" w:rsidP="00FA4C95">
      <w:pPr>
        <w:pStyle w:val="afb"/>
      </w:pPr>
      <w:r>
        <w:rPr>
          <w:noProof/>
        </w:rPr>
        <w:lastRenderedPageBreak/>
        <w:drawing>
          <wp:inline distT="0" distB="0" distL="0" distR="0" wp14:anchorId="6FF42FAC" wp14:editId="06D7C903">
            <wp:extent cx="4156364" cy="3038988"/>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74884" cy="3052529"/>
                    </a:xfrm>
                    <a:prstGeom prst="rect">
                      <a:avLst/>
                    </a:prstGeom>
                    <a:noFill/>
                  </pic:spPr>
                </pic:pic>
              </a:graphicData>
            </a:graphic>
          </wp:inline>
        </w:drawing>
      </w:r>
    </w:p>
    <w:p w:rsidR="00C34E36" w:rsidRPr="00C34E36" w:rsidRDefault="00C34E36" w:rsidP="00FA4C95">
      <w:pPr>
        <w:pStyle w:val="afb"/>
      </w:pPr>
      <w:r>
        <w:rPr>
          <w:b/>
          <w:w w:val="115"/>
        </w:rPr>
        <w:t>图</w:t>
      </w:r>
      <w:r>
        <w:rPr>
          <w:b/>
          <w:w w:val="115"/>
        </w:rPr>
        <w:t xml:space="preserve"> 26. </w:t>
      </w:r>
      <w:r>
        <w:rPr>
          <w:w w:val="115"/>
        </w:rPr>
        <w:t>将融合点云与参考模型对齐后的</w:t>
      </w:r>
      <w:r>
        <w:rPr>
          <w:w w:val="115"/>
        </w:rPr>
        <w:t xml:space="preserve"> C2C </w:t>
      </w:r>
      <w:r>
        <w:rPr>
          <w:w w:val="115"/>
        </w:rPr>
        <w:t>绝对偏差分布。</w:t>
      </w:r>
    </w:p>
    <w:p w:rsidR="003F79C2" w:rsidRDefault="003F79C2" w:rsidP="00FA4C95">
      <w:r>
        <w:t>从误差链的角度来看，观测到的偏差源于测量、执行和对象因素的综合影响。测量误差会因相位噪声、条纹对比度降低、饱和以及遮挡导致的有效像素丢失而放大，尤其是在高曲率边界和狭窄间隙附近。</w:t>
      </w:r>
      <w:r>
        <w:t xml:space="preserve"> </w:t>
      </w:r>
      <w:r>
        <w:t>执行误差（机器人重复性、运动学</w:t>
      </w:r>
      <w:r>
        <w:t>/</w:t>
      </w:r>
      <w:r>
        <w:t>模型残差以及外在标定残差）会扰乱不同视图间的相对姿态初始化，从而增加配准对重叠度和稳定几何结构的依赖性。</w:t>
      </w:r>
      <w:r>
        <w:t xml:space="preserve"> </w:t>
      </w:r>
      <w:r>
        <w:t>与物体相关的差异（制造和夹具与参考</w:t>
      </w:r>
      <w:r>
        <w:t>CAD</w:t>
      </w:r>
      <w:r>
        <w:t>模型的偏差）更可能集中在几何敏感区域，例如叶片根部过渡区；金属镜面反射和多路径反射进一步降低了有效图像质量，并可能引入离群点和局部缺失。</w:t>
      </w:r>
      <w:r>
        <w:t xml:space="preserve"> </w:t>
      </w:r>
      <w:r>
        <w:t>当重叠不足或可重复特征较弱时，配准和全局融合误差更可能以局部漂移的形式累积，这与上述约束较弱的区域相一致。由于在采集过程中转盘和载物台处于锁定状态，它们的影响主要通过参考点重新定位和一次性外在参数确定引入，而非在线运动耦合。</w:t>
      </w:r>
      <w:r>
        <w:t xml:space="preserve"> </w:t>
      </w:r>
    </w:p>
    <w:p w:rsidR="003F79C2" w:rsidRDefault="003F79C2" w:rsidP="00FA4C95">
      <w:r>
        <w:t>这些偏差反映了传感、姿态转换和点云融合对绝对精度的综合影响。本研究的重点是视点规划机制，该机制在固定平台条件下提高了可观测性并优化了覆盖范围；因此，上述外部因素不会改变关于视点选择行为以及不同规划方法之间性能比较的相对结论。</w:t>
      </w:r>
      <w:bookmarkStart w:id="3" w:name="_GoBack"/>
      <w:bookmarkEnd w:id="3"/>
      <w:r>
        <w:t xml:space="preserve"> </w:t>
      </w:r>
    </w:p>
    <w:p w:rsidR="003F79C2" w:rsidRPr="003F79C2" w:rsidRDefault="003F79C2" w:rsidP="00FA4C95">
      <w:pPr>
        <w:pStyle w:val="1"/>
      </w:pPr>
      <w:r w:rsidRPr="003F79C2">
        <w:t>5</w:t>
      </w:r>
      <w:r w:rsidR="00A51526">
        <w:t>.</w:t>
      </w:r>
      <w:r w:rsidRPr="003F79C2">
        <w:t xml:space="preserve">HYPERLINK “SPS:id::Sec9” HYPERLINK “SPS:id::Sec10” </w:t>
      </w:r>
      <w:r w:rsidRPr="003F79C2">
        <w:rPr>
          <w:rFonts w:ascii="微软雅黑" w:eastAsia="微软雅黑" w:hAnsi="微软雅黑" w:cs="微软雅黑" w:hint="eastAsia"/>
        </w:rPr>
        <w:t>结论</w:t>
      </w:r>
      <w:r w:rsidRPr="003F79C2">
        <w:t xml:space="preserve"> </w:t>
      </w:r>
    </w:p>
    <w:p w:rsidR="003F79C2" w:rsidRDefault="003F79C2" w:rsidP="00FA4C95">
      <w:r>
        <w:t>叶盘检测既要求高效率又要求高精度，但复杂的叶片排列和严重的遮挡使得三维测量尤为困难。为解决这些问题，本研究</w:t>
      </w:r>
      <w:r>
        <w:t xml:space="preserve"> </w:t>
      </w:r>
      <w:r>
        <w:t>提出了一种视点规划框架，该框架将易缺陷区域引导与强化学习优化相结合。主要贡献和发现如下：</w:t>
      </w:r>
    </w:p>
    <w:p w:rsidR="003F79C2" w:rsidRDefault="003F79C2" w:rsidP="00FA4C95">
      <w:r>
        <w:t xml:space="preserve">(1) </w:t>
      </w:r>
      <w:r>
        <w:t>设计了一种结合遮挡扰动机制的风险驱动采样策略，用于在叶片边缘和过渡区等关键区域生成密集且可行的候选视点，从而确保候选视点集的完整性。</w:t>
      </w:r>
    </w:p>
    <w:p w:rsidR="003F79C2" w:rsidRDefault="003F79C2" w:rsidP="00FA4C95">
      <w:r>
        <w:t xml:space="preserve">(2) </w:t>
      </w:r>
      <w:r>
        <w:t>将视点选择建模为马尔可夫决策过程，其奖励函数综合考虑了覆盖增益、冗余惩罚、路径成本和运动学可行性。采用基于</w:t>
      </w:r>
      <w:r>
        <w:t>PPO</w:t>
      </w:r>
      <w:r>
        <w:t>的学习策略来推导自适应扫描策略。</w:t>
      </w:r>
      <w:r>
        <w:t xml:space="preserve"> </w:t>
      </w:r>
    </w:p>
    <w:p w:rsidR="003F79C2" w:rsidRDefault="003F79C2" w:rsidP="00FA4C95">
      <w:r>
        <w:lastRenderedPageBreak/>
        <w:t xml:space="preserve">(3) </w:t>
      </w:r>
      <w:r>
        <w:t>广泛的仿真和基于结构光的真实实验验证了所提方法的有效性：与贪婪算法、均匀采样及进化算法等基线方法相比，该方法在减少视点数量和路径长度的同时，实现了超过</w:t>
      </w:r>
      <w:r>
        <w:t>95%</w:t>
      </w:r>
      <w:r>
        <w:t>的覆盖率，并显著降低了重建误差。</w:t>
      </w:r>
      <w:r>
        <w:t xml:space="preserve"> </w:t>
      </w:r>
    </w:p>
    <w:p w:rsidR="00384A8E" w:rsidRDefault="003F79C2" w:rsidP="00FA4C95">
      <w:pPr>
        <w:rPr>
          <w:rFonts w:eastAsiaTheme="minorEastAsia"/>
        </w:rPr>
      </w:pPr>
      <w:r>
        <w:t>总体而言，所提方法为叶盘检测提供了有效且有针对性的解决方案，并显示出在其他复杂工业结构中的潜在应用价值。当前存在的局限性，如表面反射、加工偏差和平台精度等问题，将在未来研究中通过整合反射建模、定量误差分析及多传感器集成进一步解决。</w:t>
      </w:r>
    </w:p>
    <w:p w:rsidR="003F79C2" w:rsidRPr="00384A8E" w:rsidRDefault="003F79C2" w:rsidP="00FA4C95">
      <w:r w:rsidRPr="00384A8E">
        <w:t xml:space="preserve">CRediT </w:t>
      </w:r>
      <w:r w:rsidRPr="00384A8E">
        <w:t>作者贡献声明</w:t>
      </w:r>
      <w:r w:rsidRPr="00384A8E">
        <w:t xml:space="preserve"> </w:t>
      </w:r>
    </w:p>
    <w:p w:rsidR="003F79C2" w:rsidRDefault="003F79C2" w:rsidP="00FA4C95">
      <w:r>
        <w:t>李茂月：撰写</w:t>
      </w:r>
      <w:r>
        <w:t>——</w:t>
      </w:r>
      <w:r>
        <w:t>审阅与编辑、指导、方法论、调查、资金获取、形式分析、概念构思。张成龙：撰写</w:t>
      </w:r>
      <w:r>
        <w:t>——</w:t>
      </w:r>
      <w:r>
        <w:t>初稿、方法论、调查。岳彩旭：方法论、形式分析。刘泽龙：验证、软件。苏元强：验证、软件。何新东：验证、软件。</w:t>
      </w:r>
      <w:r>
        <w:t xml:space="preserve"> </w:t>
      </w:r>
    </w:p>
    <w:p w:rsidR="003F79C2" w:rsidRPr="00384A8E" w:rsidRDefault="003F79C2" w:rsidP="00FA4C95">
      <w:r w:rsidRPr="00384A8E">
        <w:t>利益冲突声明</w:t>
      </w:r>
      <w:r w:rsidRPr="00384A8E">
        <w:t xml:space="preserve"> </w:t>
      </w:r>
    </w:p>
    <w:p w:rsidR="003F79C2" w:rsidRDefault="003F79C2" w:rsidP="00FA4C95">
      <w:r>
        <w:t>作者声明，他们没有已知的可能被视为影响本文所报告工作的财务利益冲突或个人关系。</w:t>
      </w:r>
      <w:r>
        <w:t xml:space="preserve"> </w:t>
      </w:r>
    </w:p>
    <w:p w:rsidR="003F79C2" w:rsidRPr="00384A8E" w:rsidRDefault="003F79C2" w:rsidP="00FA4C95">
      <w:r w:rsidRPr="00384A8E">
        <w:t>致谢</w:t>
      </w:r>
      <w:r w:rsidRPr="00384A8E">
        <w:t xml:space="preserve"> </w:t>
      </w:r>
    </w:p>
    <w:p w:rsidR="003F79C2" w:rsidRDefault="003F79C2" w:rsidP="00FA4C95">
      <w:r>
        <w:t>本研究部分由黑龙江省杰出青年科学基金（项目编号</w:t>
      </w:r>
      <w:r>
        <w:t xml:space="preserve"> JQ2024E008</w:t>
      </w:r>
      <w:r>
        <w:t>）资助，部分由国家自然科学基金（项目编号</w:t>
      </w:r>
      <w:r>
        <w:t xml:space="preserve"> 51975169</w:t>
      </w:r>
      <w:r>
        <w:t>）资助。</w:t>
      </w:r>
      <w:r>
        <w:t xml:space="preserve"> </w:t>
      </w:r>
    </w:p>
    <w:p w:rsidR="003F79C2" w:rsidRPr="00384A8E" w:rsidRDefault="003F79C2" w:rsidP="00FA4C95">
      <w:r w:rsidRPr="00384A8E">
        <w:t>数据可用性</w:t>
      </w:r>
      <w:r w:rsidRPr="00384A8E">
        <w:t xml:space="preserve"> </w:t>
      </w:r>
    </w:p>
    <w:p w:rsidR="00384A8E" w:rsidRDefault="003F79C2" w:rsidP="00FA4C95">
      <w:r>
        <w:t>数据将根据要求提供。</w:t>
      </w:r>
    </w:p>
    <w:p w:rsidR="003F79C2" w:rsidRPr="00384A8E" w:rsidRDefault="00384A8E" w:rsidP="00FA4C95">
      <w:pPr>
        <w:rPr>
          <w:rFonts w:eastAsiaTheme="minorEastAsia"/>
        </w:rPr>
      </w:pPr>
      <w:r>
        <w:br w:type="page"/>
      </w:r>
    </w:p>
    <w:p w:rsidR="003F79C2" w:rsidRPr="00384A8E" w:rsidRDefault="003F79C2" w:rsidP="00FA4C95">
      <w:pPr>
        <w:pStyle w:val="1"/>
      </w:pPr>
      <w:r w:rsidRPr="00384A8E">
        <w:rPr>
          <w:rFonts w:ascii="微软雅黑" w:eastAsia="微软雅黑" w:hAnsi="微软雅黑" w:cs="微软雅黑" w:hint="eastAsia"/>
          <w:w w:val="110"/>
        </w:rPr>
        <w:lastRenderedPageBreak/>
        <w:t>参考文献</w:t>
      </w:r>
    </w:p>
    <w:bookmarkStart w:id="4" w:name="_bookmark42"/>
    <w:bookmarkEnd w:id="4"/>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"http://refhub.elsevier.com/S0263-2241(26)00850-X/h0005" \h </w:instrText>
      </w:r>
      <w:r w:rsidRPr="00384A8E">
        <w:fldChar w:fldCharType="separate"/>
      </w:r>
      <w:r w:rsidRPr="00384A8E">
        <w:rPr>
          <w:rStyle w:val="aa"/>
          <w:color w:val="auto"/>
        </w:rPr>
        <w:t xml:space="preserve">H. Zhang, Q. Fan, Z. Zhang, B. Bao, Y. Song, C. Hu, C. Zhang, </w:t>
      </w:r>
      <w:r w:rsidRPr="00384A8E">
        <w:rPr>
          <w:rStyle w:val="aa"/>
          <w:color w:val="auto"/>
        </w:rPr>
        <w:t>叶片分区</w:t>
      </w:r>
      <w:r w:rsidRPr="00384A8E">
        <w:fldChar w:fldCharType="end"/>
      </w:r>
      <w:r w:rsidRPr="00384A8E">
        <w:t xml:space="preserve"> </w:t>
      </w:r>
      <w:hyperlink r:id="rId70">
        <w:r w:rsidRPr="00384A8E">
          <w:rPr>
            <w:rStyle w:val="aa"/>
            <w:color w:val="auto"/>
          </w:rPr>
          <w:t>测量点规划方法的研究，《测量》</w:t>
        </w:r>
        <w:r w:rsidRPr="00384A8E">
          <w:rPr>
            <w:rStyle w:val="aa"/>
            <w:color w:val="auto"/>
          </w:rPr>
          <w:t>232 (2024) 114670</w:t>
        </w:r>
      </w:hyperlink>
      <w:r w:rsidRPr="00384A8E">
        <w:t>。</w:t>
      </w:r>
    </w:p>
    <w:p w:rsidR="003F79C2" w:rsidRPr="00384A8E" w:rsidRDefault="008330F3" w:rsidP="00FA4C95">
      <w:pPr>
        <w:pStyle w:val="a9"/>
        <w:numPr>
          <w:ilvl w:val="0"/>
          <w:numId w:val="9"/>
        </w:numPr>
        <w:ind w:firstLineChars="0"/>
      </w:pPr>
      <w:hyperlink r:id="rId71">
        <w:r w:rsidR="003F79C2" w:rsidRPr="00384A8E">
          <w:rPr>
            <w:rStyle w:val="aa"/>
            <w:color w:val="auto"/>
          </w:rPr>
          <w:t>D. Chen, S. Wu, J. Wu, R. Pan, J. Fan, Y. Tang,</w:t>
        </w:r>
      </w:hyperlink>
      <w:hyperlink r:id="rId72">
        <w:r w:rsidR="003F79C2" w:rsidRPr="00384A8E">
          <w:rPr>
            <w:rStyle w:val="aa"/>
            <w:color w:val="auto"/>
          </w:rPr>
          <w:t xml:space="preserve"> </w:t>
        </w:r>
        <w:r w:rsidR="003F79C2" w:rsidRPr="00384A8E">
          <w:rPr>
            <w:rStyle w:val="aa"/>
            <w:color w:val="auto"/>
          </w:rPr>
          <w:t>基于</w:t>
        </w:r>
      </w:hyperlink>
      <w:hyperlink r:id="rId73">
        <w:r w:rsidR="003F79C2" w:rsidRPr="00384A8E">
          <w:rPr>
            <w:rStyle w:val="aa"/>
            <w:color w:val="auto"/>
          </w:rPr>
          <w:t>刀具与工件边缘啮合原理的</w:t>
        </w:r>
      </w:hyperlink>
      <w:hyperlink r:id="rId74">
        <w:r w:rsidR="003F79C2" w:rsidRPr="00384A8E">
          <w:rPr>
            <w:rStyle w:val="aa"/>
            <w:color w:val="auto"/>
          </w:rPr>
          <w:t>薄壁叶片低变形、高效率加工刀具</w:t>
        </w:r>
      </w:hyperlink>
      <w:hyperlink r:id="rId75">
        <w:r w:rsidR="003F79C2" w:rsidRPr="00384A8E">
          <w:rPr>
            <w:rStyle w:val="aa"/>
            <w:color w:val="auto"/>
          </w:rPr>
          <w:t>倾斜角设计</w:t>
        </w:r>
      </w:hyperlink>
      <w:hyperlink r:id="rId76">
        <w:r w:rsidR="003F79C2" w:rsidRPr="00384A8E">
          <w:rPr>
            <w:rStyle w:val="aa"/>
            <w:color w:val="auto"/>
          </w:rPr>
          <w:t>，《精密工程》</w:t>
        </w:r>
        <w:r w:rsidR="003F79C2" w:rsidRPr="00384A8E">
          <w:rPr>
            <w:rStyle w:val="aa"/>
            <w:color w:val="auto"/>
          </w:rPr>
          <w:t>90 (2024) 21–37</w:t>
        </w:r>
      </w:hyperlink>
      <w:r w:rsidR="003F79C2" w:rsidRPr="00384A8E">
        <w:t>.</w:t>
      </w:r>
    </w:p>
    <w:p w:rsidR="003F79C2" w:rsidRPr="00384A8E" w:rsidRDefault="003F79C2" w:rsidP="00FA4C95">
      <w:pPr>
        <w:pStyle w:val="a9"/>
        <w:numPr>
          <w:ilvl w:val="0"/>
          <w:numId w:val="9"/>
        </w:numPr>
        <w:ind w:firstLineChars="0"/>
      </w:pPr>
      <w:bookmarkStart w:id="5" w:name="_bookmark43"/>
      <w:bookmarkEnd w:id="5"/>
      <w:r w:rsidRPr="00384A8E">
        <w:t>M. Callieri, A. Fasano, G. Impoco, P. Cignoni, R. Scopigno, G. Parrini, G. Biagini, RoboScan</w:t>
      </w:r>
      <w:r w:rsidRPr="00384A8E">
        <w:t>：一种用于精确且无人值守的</w:t>
      </w:r>
      <w:r w:rsidRPr="00384A8E">
        <w:t>3D</w:t>
      </w:r>
      <w:r w:rsidRPr="00384A8E">
        <w:t>扫描的自动系统，载于《</w:t>
      </w:r>
      <w:r w:rsidRPr="00384A8E">
        <w:t>IEEE</w:t>
      </w:r>
      <w:r w:rsidRPr="00384A8E">
        <w:t>第二届</w:t>
      </w:r>
      <w:r w:rsidRPr="00384A8E">
        <w:t>3D</w:t>
      </w:r>
      <w:r w:rsidRPr="00384A8E">
        <w:t>数据处理、可视化和传输国际研讨会论文集》（</w:t>
      </w:r>
      <w:r w:rsidRPr="00384A8E">
        <w:t>3DPVT</w:t>
      </w:r>
      <w:r w:rsidRPr="00384A8E">
        <w:t>）（</w:t>
      </w:r>
      <w:r w:rsidRPr="00384A8E">
        <w:t>2004</w:t>
      </w:r>
      <w:r w:rsidRPr="00384A8E">
        <w:t>）</w:t>
      </w:r>
      <w:r w:rsidRPr="00384A8E">
        <w:t>805-812</w:t>
      </w:r>
      <w:r w:rsidRPr="00384A8E">
        <w:t>。</w:t>
      </w:r>
    </w:p>
    <w:p w:rsidR="003F79C2" w:rsidRPr="00384A8E" w:rsidRDefault="008330F3" w:rsidP="00FA4C95">
      <w:pPr>
        <w:pStyle w:val="a9"/>
        <w:numPr>
          <w:ilvl w:val="0"/>
          <w:numId w:val="9"/>
        </w:numPr>
        <w:ind w:firstLineChars="0"/>
      </w:pPr>
      <w:hyperlink r:id="rId77">
        <w:r w:rsidR="003F79C2" w:rsidRPr="00384A8E">
          <w:rPr>
            <w:rStyle w:val="aa"/>
            <w:color w:val="auto"/>
          </w:rPr>
          <w:t xml:space="preserve">I.D. Lee, J.H. Seo, Y.M. Kim, J. Choi, S. Han, B. Yoo, </w:t>
        </w:r>
      </w:hyperlink>
      <w:hyperlink r:id="rId78">
        <w:r w:rsidR="003F79C2" w:rsidRPr="00384A8E">
          <w:rPr>
            <w:rStyle w:val="aa"/>
            <w:color w:val="auto"/>
          </w:rPr>
          <w:t>“</w:t>
        </w:r>
        <w:r w:rsidR="003F79C2" w:rsidRPr="00384A8E">
          <w:rPr>
            <w:rStyle w:val="aa"/>
            <w:color w:val="auto"/>
          </w:rPr>
          <w:t>机械零件机器人</w:t>
        </w:r>
        <w:r w:rsidR="003F79C2" w:rsidRPr="00384A8E">
          <w:rPr>
            <w:rStyle w:val="aa"/>
            <w:color w:val="auto"/>
          </w:rPr>
          <w:t>3D</w:t>
        </w:r>
        <w:r w:rsidR="003F79C2" w:rsidRPr="00384A8E">
          <w:rPr>
            <w:rStyle w:val="aa"/>
            <w:color w:val="auto"/>
          </w:rPr>
          <w:t>扫描的</w:t>
        </w:r>
      </w:hyperlink>
      <w:hyperlink r:id="rId79">
        <w:r w:rsidR="003F79C2" w:rsidRPr="00384A8E">
          <w:rPr>
            <w:rStyle w:val="aa"/>
            <w:color w:val="auto"/>
          </w:rPr>
          <w:t>自动姿态生成</w:t>
        </w:r>
      </w:hyperlink>
      <w:hyperlink r:id="rId80">
        <w:r w:rsidR="003F79C2" w:rsidRPr="00384A8E">
          <w:rPr>
            <w:rStyle w:val="aa"/>
            <w:color w:val="auto"/>
          </w:rPr>
          <w:t>”</w:t>
        </w:r>
        <w:r w:rsidR="003F79C2" w:rsidRPr="00384A8E">
          <w:rPr>
            <w:rStyle w:val="aa"/>
            <w:color w:val="auto"/>
          </w:rPr>
          <w:t>，《</w:t>
        </w:r>
        <w:r w:rsidR="003F79C2" w:rsidRPr="00384A8E">
          <w:rPr>
            <w:rStyle w:val="aa"/>
            <w:color w:val="auto"/>
          </w:rPr>
          <w:t>IEEE</w:t>
        </w:r>
        <w:r w:rsidR="003F79C2" w:rsidRPr="00384A8E">
          <w:rPr>
            <w:rStyle w:val="aa"/>
            <w:color w:val="auto"/>
          </w:rPr>
          <w:t>机器人学汇刊》</w:t>
        </w:r>
        <w:r w:rsidR="003F79C2" w:rsidRPr="00384A8E">
          <w:rPr>
            <w:rStyle w:val="aa"/>
            <w:color w:val="auto"/>
          </w:rPr>
          <w:t>36 (4) (2020)</w:t>
        </w:r>
      </w:hyperlink>
      <w:hyperlink r:id="rId81">
        <w:r w:rsidR="003F79C2" w:rsidRPr="00384A8E">
          <w:rPr>
            <w:rStyle w:val="aa"/>
            <w:color w:val="auto"/>
          </w:rPr>
          <w:t xml:space="preserve"> 1219–1238</w:t>
        </w:r>
      </w:hyperlink>
      <w:r w:rsidR="003F79C2" w:rsidRPr="00384A8E">
        <w:t>。</w:t>
      </w:r>
    </w:p>
    <w:bookmarkStart w:id="6" w:name="_bookmark44"/>
    <w:bookmarkEnd w:id="6"/>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"http://refhub.elsevier.com/S0263-2241(26)00850-X/h0025" \h </w:instrText>
      </w:r>
      <w:r w:rsidRPr="00384A8E">
        <w:fldChar w:fldCharType="separate"/>
      </w:r>
      <w:r w:rsidRPr="00384A8E">
        <w:rPr>
          <w:rStyle w:val="aa"/>
          <w:color w:val="auto"/>
        </w:rPr>
        <w:t>Y. Wang, R. Xiao, X. Wang, J. Zhang,</w:t>
      </w:r>
      <w:hyperlink r:id="rId82">
        <w:r w:rsidRPr="00384A8E">
          <w:rPr>
            <w:rStyle w:val="aa"/>
            <w:color w:val="auto"/>
          </w:rPr>
          <w:t xml:space="preserve"> </w:t>
        </w:r>
        <w:r w:rsidRPr="00384A8E">
          <w:rPr>
            <w:rStyle w:val="aa"/>
            <w:color w:val="auto"/>
          </w:rPr>
          <w:t>基于</w:t>
        </w:r>
        <w:r w:rsidRPr="00384A8E">
          <w:rPr>
            <w:rStyle w:val="aa"/>
            <w:color w:val="auto"/>
          </w:rPr>
          <w:t>“</w:t>
        </w:r>
        <w:r w:rsidRPr="00384A8E">
          <w:rPr>
            <w:rStyle w:val="aa"/>
            <w:color w:val="auto"/>
          </w:rPr>
          <w:t>模拟到现实</w:t>
        </w:r>
        <w:r w:rsidRPr="00384A8E">
          <w:rPr>
            <w:rStyle w:val="aa"/>
            <w:color w:val="auto"/>
          </w:rPr>
          <w:t>”</w:t>
        </w:r>
      </w:hyperlink>
      <w:hyperlink r:id="rId83">
        <w:r w:rsidRPr="00384A8E">
          <w:rPr>
            <w:rStyle w:val="aa"/>
            <w:color w:val="auto"/>
          </w:rPr>
          <w:t>策略优化（</w:t>
        </w:r>
        <w:r w:rsidRPr="00384A8E">
          <w:rPr>
            <w:rStyle w:val="aa"/>
            <w:color w:val="auto"/>
          </w:rPr>
          <w:t>sim-to-real proximal policy optimization</w:t>
        </w:r>
        <w:r w:rsidRPr="00384A8E">
          <w:rPr>
            <w:rStyle w:val="aa"/>
            <w:color w:val="auto"/>
          </w:rPr>
          <w:t>）</w:t>
        </w:r>
      </w:hyperlink>
      <w:hyperlink r:id="rId84">
        <w:r w:rsidRPr="00384A8E">
          <w:rPr>
            <w:rStyle w:val="aa"/>
            <w:color w:val="auto"/>
          </w:rPr>
          <w:t>的</w:t>
        </w:r>
      </w:hyperlink>
      <w:r w:rsidRPr="00384A8E">
        <w:fldChar w:fldCharType="end"/>
      </w:r>
      <w:hyperlink r:id="rId85">
        <w:r w:rsidRPr="00384A8E">
          <w:rPr>
            <w:rStyle w:val="aa"/>
            <w:color w:val="auto"/>
          </w:rPr>
          <w:t xml:space="preserve"> </w:t>
        </w:r>
        <w:r w:rsidRPr="00384A8E">
          <w:rPr>
            <w:rStyle w:val="aa"/>
            <w:color w:val="auto"/>
          </w:rPr>
          <w:t>结构从运动（</w:t>
        </w:r>
        <w:r w:rsidRPr="00384A8E">
          <w:rPr>
            <w:rStyle w:val="aa"/>
            <w:color w:val="auto"/>
          </w:rPr>
          <w:t>SfM</w:t>
        </w:r>
        <w:r w:rsidRPr="00384A8E">
          <w:rPr>
            <w:rStyle w:val="aa"/>
            <w:color w:val="auto"/>
          </w:rPr>
          <w:t>）工业产品三维重建中的</w:t>
        </w:r>
      </w:hyperlink>
      <w:hyperlink r:id="rId86">
        <w:r w:rsidRPr="00384A8E">
          <w:rPr>
            <w:rStyle w:val="aa"/>
            <w:color w:val="auto"/>
          </w:rPr>
          <w:t>，《专家系统应用》</w:t>
        </w:r>
        <w:r w:rsidRPr="00384A8E">
          <w:rPr>
            <w:rStyle w:val="aa"/>
            <w:color w:val="auto"/>
          </w:rPr>
          <w:t>271 (2025) 126674</w:t>
        </w:r>
      </w:hyperlink>
      <w:r w:rsidRPr="00384A8E">
        <w:t>.</w:t>
      </w:r>
    </w:p>
    <w:bookmarkStart w:id="7" w:name="_bookmark45"/>
    <w:bookmarkEnd w:id="7"/>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"http://refhub.elsevier.com/S0263-2241(26)00850-X/h0030" \h </w:instrText>
      </w:r>
      <w:r w:rsidRPr="00384A8E">
        <w:fldChar w:fldCharType="separate"/>
      </w:r>
      <w:r w:rsidRPr="00384A8E">
        <w:rPr>
          <w:rStyle w:val="aa"/>
          <w:color w:val="auto"/>
        </w:rPr>
        <w:t>C. Yao, J. Zhang, M. Cui, L. Tan, X. Shen,</w:t>
      </w:r>
      <w:hyperlink r:id="rId87">
        <w:r w:rsidRPr="00384A8E">
          <w:rPr>
            <w:rStyle w:val="aa"/>
            <w:color w:val="auto"/>
          </w:rPr>
          <w:t xml:space="preserve"> </w:t>
        </w:r>
        <w:r w:rsidRPr="00384A8E">
          <w:rPr>
            <w:rStyle w:val="aa"/>
            <w:color w:val="auto"/>
          </w:rPr>
          <w:t>基于载荷不均匀残余应力的</w:t>
        </w:r>
      </w:hyperlink>
      <w:r w:rsidRPr="00384A8E">
        <w:fldChar w:fldCharType="end"/>
      </w:r>
      <w:hyperlink r:id="rId88">
        <w:r w:rsidRPr="00384A8E">
          <w:rPr>
            <w:rStyle w:val="aa"/>
            <w:color w:val="auto"/>
          </w:rPr>
          <w:t xml:space="preserve"> </w:t>
        </w:r>
        <w:r w:rsidRPr="00384A8E">
          <w:rPr>
            <w:rStyle w:val="aa"/>
            <w:color w:val="auto"/>
          </w:rPr>
          <w:t>大型风扇叶片预测，《国际先进制造</w:t>
        </w:r>
      </w:hyperlink>
      <w:hyperlink r:id="rId89">
        <w:r w:rsidRPr="00384A8E">
          <w:rPr>
            <w:rStyle w:val="aa"/>
            <w:color w:val="auto"/>
          </w:rPr>
          <w:t>技术杂志》</w:t>
        </w:r>
        <w:r w:rsidRPr="00384A8E">
          <w:rPr>
            <w:rStyle w:val="aa"/>
            <w:color w:val="auto"/>
          </w:rPr>
          <w:t>107 (9) (2020) 4345–4356</w:t>
        </w:r>
      </w:hyperlink>
      <w:r w:rsidRPr="00384A8E">
        <w:t>.</w:t>
      </w:r>
    </w:p>
    <w:p w:rsidR="003F79C2" w:rsidRPr="00384A8E" w:rsidRDefault="008330F3" w:rsidP="00FA4C95">
      <w:pPr>
        <w:pStyle w:val="a9"/>
        <w:numPr>
          <w:ilvl w:val="0"/>
          <w:numId w:val="9"/>
        </w:numPr>
        <w:ind w:firstLineChars="0"/>
      </w:pPr>
      <w:hyperlink r:id="rId90">
        <w:r w:rsidR="003F79C2" w:rsidRPr="00384A8E">
          <w:rPr>
            <w:rStyle w:val="aa"/>
            <w:color w:val="auto"/>
          </w:rPr>
          <w:t xml:space="preserve">H. Shang, C. Sun, J. Liu, X. Chen, R. Yan, </w:t>
        </w:r>
        <w:r w:rsidR="003F79C2" w:rsidRPr="00384A8E">
          <w:rPr>
            <w:rStyle w:val="aa"/>
            <w:color w:val="auto"/>
          </w:rPr>
          <w:t>基于深度学习的内窥镜</w:t>
        </w:r>
      </w:hyperlink>
      <w:hyperlink r:id="rId91">
        <w:r w:rsidR="003F79C2" w:rsidRPr="00384A8E">
          <w:rPr>
            <w:rStyle w:val="aa"/>
            <w:color w:val="auto"/>
          </w:rPr>
          <w:t>图像处理技术在航空发动机叶片原位损伤检测中的应用，《航空航天科学与技术》</w:t>
        </w:r>
      </w:hyperlink>
      <w:hyperlink r:id="rId92">
        <w:r w:rsidR="003F79C2" w:rsidRPr="00384A8E">
          <w:rPr>
            <w:rStyle w:val="aa"/>
            <w:color w:val="auto"/>
          </w:rPr>
          <w:t>123 (2022) 107473</w:t>
        </w:r>
      </w:hyperlink>
      <w:r w:rsidR="003F79C2" w:rsidRPr="00384A8E">
        <w:t>.</w:t>
      </w:r>
    </w:p>
    <w:bookmarkStart w:id="8" w:name="_bookmark46"/>
    <w:bookmarkEnd w:id="8"/>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"http://refhub.elsevier.com/S0263-2241(26)00850-X/h0040" \h </w:instrText>
      </w:r>
      <w:r w:rsidRPr="00384A8E">
        <w:fldChar w:fldCharType="separate"/>
      </w:r>
      <w:r w:rsidRPr="00384A8E">
        <w:rPr>
          <w:rStyle w:val="aa"/>
          <w:color w:val="auto"/>
        </w:rPr>
        <w:t>J. Hong, S. Yoo, I. Joo, J. Kim, H.S. Kim, T.W. Seo,</w:t>
      </w:r>
      <w:hyperlink r:id="rId93">
        <w:r w:rsidRPr="00384A8E">
          <w:rPr>
            <w:rStyle w:val="aa"/>
            <w:color w:val="auto"/>
          </w:rPr>
          <w:t xml:space="preserve"> </w:t>
        </w:r>
        <w:r w:rsidRPr="00384A8E">
          <w:rPr>
            <w:rStyle w:val="aa"/>
            <w:color w:val="auto"/>
          </w:rPr>
          <w:t>垂直玻璃表面</w:t>
        </w:r>
      </w:hyperlink>
      <w:r w:rsidRPr="00384A8E">
        <w:fldChar w:fldCharType="end"/>
      </w:r>
      <w:r w:rsidRPr="00384A8E">
        <w:t xml:space="preserve"> </w:t>
      </w:r>
      <w:hyperlink r:id="rId94">
        <w:r w:rsidRPr="00384A8E">
          <w:rPr>
            <w:rStyle w:val="aa"/>
            <w:color w:val="auto"/>
          </w:rPr>
          <w:t>清洁装置，《国际精密工程与制造杂志》</w:t>
        </w:r>
        <w:r w:rsidRPr="00384A8E">
          <w:rPr>
            <w:rStyle w:val="aa"/>
            <w:color w:val="auto"/>
          </w:rPr>
          <w:t>20 (2) (2019)</w:t>
        </w:r>
      </w:hyperlink>
      <w:hyperlink r:id="rId95">
        <w:r w:rsidRPr="00384A8E">
          <w:rPr>
            <w:rStyle w:val="aa"/>
            <w:color w:val="auto"/>
          </w:rPr>
          <w:t xml:space="preserve"> 233–241</w:t>
        </w:r>
      </w:hyperlink>
      <w:r w:rsidRPr="00384A8E">
        <w:t>.</w:t>
      </w:r>
    </w:p>
    <w:p w:rsidR="003F79C2" w:rsidRPr="00384A8E" w:rsidRDefault="008330F3" w:rsidP="00FA4C95">
      <w:pPr>
        <w:pStyle w:val="a9"/>
        <w:numPr>
          <w:ilvl w:val="0"/>
          <w:numId w:val="9"/>
        </w:numPr>
        <w:ind w:firstLineChars="0"/>
      </w:pPr>
      <w:hyperlink r:id="rId96">
        <w:r w:rsidR="003F79C2" w:rsidRPr="00384A8E">
          <w:rPr>
            <w:rStyle w:val="aa"/>
            <w:color w:val="auto"/>
          </w:rPr>
          <w:t>M. Sharma, H.K. Voruganti,</w:t>
        </w:r>
      </w:hyperlink>
      <w:hyperlink r:id="rId97">
        <w:r w:rsidR="003F79C2" w:rsidRPr="00384A8E">
          <w:rPr>
            <w:rStyle w:val="aa"/>
            <w:color w:val="auto"/>
          </w:rPr>
          <w:t xml:space="preserve"> </w:t>
        </w:r>
        <w:r w:rsidR="003F79C2" w:rsidRPr="00384A8E">
          <w:rPr>
            <w:rStyle w:val="aa"/>
            <w:color w:val="auto"/>
          </w:rPr>
          <w:t>移动机器人</w:t>
        </w:r>
      </w:hyperlink>
      <w:hyperlink r:id="rId98">
        <w:r w:rsidR="003F79C2" w:rsidRPr="00384A8E">
          <w:rPr>
            <w:rStyle w:val="aa"/>
            <w:color w:val="auto"/>
          </w:rPr>
          <w:t>覆盖</w:t>
        </w:r>
      </w:hyperlink>
      <w:hyperlink r:id="rId99">
        <w:r w:rsidR="003F79C2" w:rsidRPr="00384A8E">
          <w:rPr>
            <w:rStyle w:val="aa"/>
            <w:color w:val="auto"/>
          </w:rPr>
          <w:t>路径规划</w:t>
        </w:r>
      </w:hyperlink>
      <w:hyperlink r:id="rId100">
        <w:r w:rsidR="003F79C2" w:rsidRPr="00384A8E">
          <w:rPr>
            <w:rStyle w:val="aa"/>
            <w:color w:val="auto"/>
          </w:rPr>
          <w:t>的多目标优化方法</w:t>
        </w:r>
      </w:hyperlink>
      <w:hyperlink r:id="rId101">
        <w:r w:rsidR="003F79C2" w:rsidRPr="00384A8E">
          <w:rPr>
            <w:rStyle w:val="aa"/>
            <w:color w:val="auto"/>
          </w:rPr>
          <w:t>，《</w:t>
        </w:r>
        <w:r w:rsidR="003F79C2" w:rsidRPr="00384A8E">
          <w:rPr>
            <w:rStyle w:val="aa"/>
            <w:color w:val="auto"/>
          </w:rPr>
          <w:t>Robotica</w:t>
        </w:r>
        <w:r w:rsidR="003F79C2" w:rsidRPr="00384A8E">
          <w:rPr>
            <w:rStyle w:val="aa"/>
            <w:color w:val="auto"/>
          </w:rPr>
          <w:t>》</w:t>
        </w:r>
        <w:r w:rsidR="003F79C2" w:rsidRPr="00384A8E">
          <w:rPr>
            <w:rStyle w:val="aa"/>
            <w:color w:val="auto"/>
          </w:rPr>
          <w:t>42 (7) (2024) 2125–2149</w:t>
        </w:r>
      </w:hyperlink>
      <w:r w:rsidR="003F79C2" w:rsidRPr="00384A8E">
        <w:t>.</w:t>
      </w:r>
    </w:p>
    <w:bookmarkStart w:id="9" w:name="_bookmark47"/>
    <w:bookmarkEnd w:id="9"/>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"http://refhub.elsevier.com/S0263-2241(26)00850-X/h0050" \h </w:instrText>
      </w:r>
      <w:r w:rsidRPr="00384A8E">
        <w:fldChar w:fldCharType="separate"/>
      </w:r>
      <w:r w:rsidRPr="00384A8E">
        <w:rPr>
          <w:rStyle w:val="aa"/>
          <w:color w:val="auto"/>
        </w:rPr>
        <w:t>X. Li, Y. Chen, Z. Chen, Z. Huang,</w:t>
      </w:r>
      <w:r w:rsidRPr="00384A8E">
        <w:t xml:space="preserve"> </w:t>
      </w:r>
      <w:r w:rsidRPr="00384A8E">
        <w:t>基于</w:t>
      </w:r>
      <w:r w:rsidRPr="00384A8E">
        <w:fldChar w:fldCharType="end"/>
      </w:r>
      <w:hyperlink r:id="rId102">
        <w:r w:rsidRPr="00384A8E">
          <w:rPr>
            <w:rStyle w:val="aa"/>
            <w:color w:val="auto"/>
          </w:rPr>
          <w:t xml:space="preserve"> </w:t>
        </w:r>
        <w:r w:rsidRPr="00384A8E">
          <w:rPr>
            <w:rStyle w:val="aa"/>
            <w:color w:val="auto"/>
          </w:rPr>
          <w:t>无人机的规划，《工程应用人工智能》</w:t>
        </w:r>
        <w:r w:rsidRPr="00384A8E">
          <w:rPr>
            <w:rStyle w:val="aa"/>
            <w:color w:val="auto"/>
          </w:rPr>
          <w:t>156 (2025) 111253</w:t>
        </w:r>
      </w:hyperlink>
      <w:r w:rsidRPr="00384A8E">
        <w:t>.</w:t>
      </w:r>
    </w:p>
    <w:bookmarkStart w:id="10" w:name="_bookmark48"/>
    <w:bookmarkEnd w:id="10"/>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"http://refhub.elsevier.com/S0263-2241(26)00850-X/h0055" \h </w:instrText>
      </w:r>
      <w:r w:rsidRPr="00384A8E">
        <w:fldChar w:fldCharType="separate"/>
      </w:r>
      <w:r w:rsidRPr="00384A8E">
        <w:rPr>
          <w:rStyle w:val="aa"/>
          <w:color w:val="auto"/>
        </w:rPr>
        <w:t>S. Pan, H. Hu, H. Wei, SCVP</w:t>
      </w:r>
      <w:r w:rsidRPr="00384A8E">
        <w:rPr>
          <w:rStyle w:val="aa"/>
          <w:color w:val="auto"/>
        </w:rPr>
        <w:t>：通过集合覆盖学习单帧视图规划，用于</w:t>
      </w:r>
      <w:r w:rsidRPr="00384A8E">
        <w:fldChar w:fldCharType="end"/>
      </w:r>
      <w:hyperlink r:id="rId103">
        <w:r w:rsidRPr="00384A8E">
          <w:rPr>
            <w:rStyle w:val="aa"/>
            <w:color w:val="auto"/>
          </w:rPr>
          <w:t xml:space="preserve"> </w:t>
        </w:r>
        <w:r w:rsidRPr="00384A8E">
          <w:rPr>
            <w:rStyle w:val="aa"/>
            <w:color w:val="auto"/>
          </w:rPr>
          <w:t>未知物体重建，《</w:t>
        </w:r>
        <w:r w:rsidRPr="00384A8E">
          <w:rPr>
            <w:rStyle w:val="aa"/>
            <w:color w:val="auto"/>
          </w:rPr>
          <w:t>IEEE</w:t>
        </w:r>
        <w:r w:rsidRPr="00384A8E">
          <w:rPr>
            <w:rStyle w:val="aa"/>
            <w:color w:val="auto"/>
          </w:rPr>
          <w:t>机器人与自动化通讯》第</w:t>
        </w:r>
        <w:r w:rsidRPr="00384A8E">
          <w:rPr>
            <w:rStyle w:val="aa"/>
            <w:color w:val="auto"/>
          </w:rPr>
          <w:t>7</w:t>
        </w:r>
        <w:r w:rsidRPr="00384A8E">
          <w:rPr>
            <w:rStyle w:val="aa"/>
            <w:color w:val="auto"/>
          </w:rPr>
          <w:t>卷第</w:t>
        </w:r>
        <w:r w:rsidRPr="00384A8E">
          <w:rPr>
            <w:rStyle w:val="aa"/>
            <w:color w:val="auto"/>
          </w:rPr>
          <w:t>2</w:t>
        </w:r>
        <w:r w:rsidRPr="00384A8E">
          <w:rPr>
            <w:rStyle w:val="aa"/>
            <w:color w:val="auto"/>
          </w:rPr>
          <w:t>期（</w:t>
        </w:r>
        <w:r w:rsidRPr="00384A8E">
          <w:rPr>
            <w:rStyle w:val="aa"/>
            <w:color w:val="auto"/>
          </w:rPr>
          <w:t>2022</w:t>
        </w:r>
        <w:r w:rsidRPr="00384A8E">
          <w:rPr>
            <w:rStyle w:val="aa"/>
            <w:color w:val="auto"/>
          </w:rPr>
          <w:t>年），第</w:t>
        </w:r>
        <w:r w:rsidRPr="00384A8E">
          <w:rPr>
            <w:rStyle w:val="aa"/>
            <w:color w:val="auto"/>
          </w:rPr>
          <w:t>1463–1470</w:t>
        </w:r>
        <w:r w:rsidRPr="00384A8E">
          <w:rPr>
            <w:rStyle w:val="aa"/>
            <w:color w:val="auto"/>
          </w:rPr>
          <w:t>页</w:t>
        </w:r>
      </w:hyperlink>
      <w:r w:rsidRPr="00384A8E">
        <w:t>。</w:t>
      </w:r>
    </w:p>
    <w:bookmarkStart w:id="11" w:name="_bookmark49"/>
    <w:bookmarkEnd w:id="11"/>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"http://refhub.elsevier.com/S0263-2241(26)00850-X/h0060" \h </w:instrText>
      </w:r>
      <w:r w:rsidRPr="00384A8E">
        <w:fldChar w:fldCharType="separate"/>
      </w:r>
      <w:r w:rsidRPr="00384A8E">
        <w:rPr>
          <w:rStyle w:val="aa"/>
          <w:color w:val="auto"/>
        </w:rPr>
        <w:t xml:space="preserve">K.A. Tarabanis, P.K. Allen, R.Y. Tsai, </w:t>
      </w:r>
      <w:r w:rsidRPr="00384A8E">
        <w:rPr>
          <w:rStyle w:val="aa"/>
          <w:color w:val="auto"/>
        </w:rPr>
        <w:t>《计算机</w:t>
      </w:r>
      <w:r w:rsidRPr="00384A8E">
        <w:fldChar w:fldCharType="end"/>
      </w:r>
      <w:hyperlink r:id="rId104">
        <w:r w:rsidRPr="00384A8E">
          <w:rPr>
            <w:rStyle w:val="aa"/>
            <w:color w:val="auto"/>
          </w:rPr>
          <w:t xml:space="preserve"> </w:t>
        </w:r>
        <w:r w:rsidRPr="00384A8E">
          <w:rPr>
            <w:rStyle w:val="aa"/>
            <w:color w:val="auto"/>
          </w:rPr>
          <w:t>视觉中》，</w:t>
        </w:r>
        <w:r w:rsidRPr="00384A8E">
          <w:rPr>
            <w:rStyle w:val="aa"/>
            <w:color w:val="auto"/>
          </w:rPr>
          <w:t>IEEE</w:t>
        </w:r>
        <w:r w:rsidRPr="00384A8E">
          <w:rPr>
            <w:rStyle w:val="aa"/>
            <w:color w:val="auto"/>
          </w:rPr>
          <w:t>机器人与自动化汇刊</w:t>
        </w:r>
        <w:r w:rsidRPr="00384A8E">
          <w:rPr>
            <w:rStyle w:val="aa"/>
            <w:color w:val="auto"/>
          </w:rPr>
          <w:t xml:space="preserve"> 11 (1) (2002) 86–104</w:t>
        </w:r>
      </w:hyperlink>
      <w:r w:rsidRPr="00384A8E">
        <w:t>。</w:t>
      </w:r>
    </w:p>
    <w:p w:rsidR="003F79C2" w:rsidRPr="00384A8E" w:rsidRDefault="003F79C2" w:rsidP="00FA4C95">
      <w:pPr>
        <w:pStyle w:val="a9"/>
        <w:numPr>
          <w:ilvl w:val="0"/>
          <w:numId w:val="9"/>
        </w:numPr>
        <w:ind w:firstLineChars="0"/>
      </w:pPr>
      <w:r w:rsidRPr="00384A8E">
        <w:t xml:space="preserve">W. R. Scott, G. Roth, J. F. Rivest, </w:t>
      </w:r>
      <w:r w:rsidRPr="00384A8E">
        <w:t>《面向性能的视图规划用于模型获取》，加拿大国家研究委员会。</w:t>
      </w:r>
      <w:r w:rsidRPr="00384A8E">
        <w:t>(2000)</w:t>
      </w:r>
      <w:r w:rsidRPr="00384A8E">
        <w:t>。</w:t>
      </w:r>
    </w:p>
    <w:bookmarkStart w:id="12" w:name="_bookmark50"/>
    <w:bookmarkEnd w:id="12"/>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"http://refhub.elsevier.com/S0263-2241(26)00850-X/h0070" \h </w:instrText>
      </w:r>
      <w:r w:rsidRPr="00384A8E">
        <w:fldChar w:fldCharType="separate"/>
      </w:r>
      <w:r w:rsidRPr="00384A8E">
        <w:rPr>
          <w:rStyle w:val="aa"/>
          <w:color w:val="auto"/>
        </w:rPr>
        <w:t>P. Gospodneti´c</w:t>
      </w:r>
      <w:r w:rsidRPr="00384A8E">
        <w:rPr>
          <w:rStyle w:val="aa"/>
          <w:color w:val="auto"/>
        </w:rPr>
        <w:t>、</w:t>
      </w:r>
      <w:r w:rsidRPr="00384A8E">
        <w:rPr>
          <w:rStyle w:val="aa"/>
          <w:color w:val="auto"/>
        </w:rPr>
        <w:t>D. Mosbach</w:t>
      </w:r>
      <w:r w:rsidRPr="00384A8E">
        <w:rPr>
          <w:rStyle w:val="aa"/>
          <w:color w:val="auto"/>
        </w:rPr>
        <w:t>、</w:t>
      </w:r>
      <w:r w:rsidRPr="00384A8E">
        <w:rPr>
          <w:rStyle w:val="aa"/>
          <w:color w:val="auto"/>
        </w:rPr>
        <w:t>M. Rauhut</w:t>
      </w:r>
      <w:r w:rsidRPr="00384A8E">
        <w:rPr>
          <w:rStyle w:val="aa"/>
          <w:color w:val="auto"/>
        </w:rPr>
        <w:t>、</w:t>
      </w:r>
      <w:r w:rsidRPr="00384A8E">
        <w:rPr>
          <w:rStyle w:val="aa"/>
          <w:color w:val="auto"/>
        </w:rPr>
        <w:t>H. Hagen</w:t>
      </w:r>
      <w:r w:rsidRPr="00384A8E">
        <w:rPr>
          <w:rStyle w:val="aa"/>
          <w:color w:val="auto"/>
        </w:rPr>
        <w:t>，《用于</w:t>
      </w:r>
      <w:r w:rsidRPr="00384A8E">
        <w:fldChar w:fldCharType="end"/>
      </w:r>
      <w:r w:rsidR="00384A8E" w:rsidRPr="00384A8E">
        <w:t xml:space="preserve"> </w:t>
      </w:r>
      <w:hyperlink r:id="rId105">
        <w:r w:rsidRPr="00384A8E">
          <w:rPr>
            <w:rStyle w:val="aa"/>
            <w:color w:val="auto"/>
          </w:rPr>
          <w:t>检测规划的》，《</w:t>
        </w:r>
        <w:r w:rsidRPr="00384A8E">
          <w:rPr>
            <w:rStyle w:val="aa"/>
            <w:color w:val="auto"/>
          </w:rPr>
          <w:t>Mach. Vis. Appl.</w:t>
        </w:r>
        <w:r w:rsidRPr="00384A8E">
          <w:rPr>
            <w:rStyle w:val="aa"/>
            <w:color w:val="auto"/>
          </w:rPr>
          <w:t>》</w:t>
        </w:r>
        <w:r w:rsidRPr="00384A8E">
          <w:rPr>
            <w:rStyle w:val="aa"/>
            <w:color w:val="auto"/>
          </w:rPr>
          <w:t>33 (1) (2022) 2</w:t>
        </w:r>
      </w:hyperlink>
      <w:r w:rsidRPr="00384A8E">
        <w:t>。</w:t>
      </w:r>
    </w:p>
    <w:bookmarkStart w:id="13" w:name="_bookmark51"/>
    <w:bookmarkEnd w:id="13"/>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"http://refhub.elsevier.com/S0263-2241(26)00850-X/h0075" \h </w:instrText>
      </w:r>
      <w:r w:rsidRPr="00384A8E">
        <w:fldChar w:fldCharType="separate"/>
      </w:r>
      <w:r w:rsidRPr="00384A8E">
        <w:rPr>
          <w:rStyle w:val="aa"/>
          <w:color w:val="auto"/>
        </w:rPr>
        <w:t xml:space="preserve">M. Germani, F. Mandorli, M. Mengoni, R. Raffaeli, </w:t>
      </w:r>
      <w:r w:rsidRPr="00384A8E">
        <w:rPr>
          <w:rStyle w:val="aa"/>
          <w:color w:val="auto"/>
        </w:rPr>
        <w:t>基于</w:t>
      </w:r>
      <w:r w:rsidRPr="00384A8E">
        <w:rPr>
          <w:rStyle w:val="aa"/>
          <w:color w:val="auto"/>
        </w:rPr>
        <w:t>CAD</w:t>
      </w:r>
      <w:r w:rsidRPr="00384A8E">
        <w:rPr>
          <w:rStyle w:val="aa"/>
          <w:color w:val="auto"/>
        </w:rPr>
        <w:t>的环境</w:t>
      </w:r>
      <w:r w:rsidRPr="00384A8E">
        <w:t>，通过</w:t>
      </w:r>
      <w:r w:rsidRPr="00384A8E">
        <w:fldChar w:fldCharType="end"/>
      </w:r>
      <w:r w:rsidRPr="00384A8E">
        <w:t xml:space="preserve"> </w:t>
      </w:r>
      <w:hyperlink r:id="rId106">
        <w:r w:rsidRPr="00384A8E">
          <w:rPr>
            <w:rStyle w:val="aa"/>
            <w:color w:val="auto"/>
          </w:rPr>
          <w:t>弥合产品设计与公差控制之间的差距，《精密工程》</w:t>
        </w:r>
        <w:r w:rsidRPr="00384A8E">
          <w:rPr>
            <w:rStyle w:val="aa"/>
            <w:color w:val="auto"/>
          </w:rPr>
          <w:t xml:space="preserve">34 (1) </w:t>
        </w:r>
      </w:hyperlink>
      <w:hyperlink r:id="rId107">
        <w:r w:rsidRPr="00384A8E">
          <w:rPr>
            <w:rStyle w:val="aa"/>
            <w:color w:val="auto"/>
          </w:rPr>
          <w:t>(2010) 7–15</w:t>
        </w:r>
      </w:hyperlink>
      <w:r w:rsidRPr="00384A8E">
        <w:t>.</w:t>
      </w:r>
    </w:p>
    <w:bookmarkStart w:id="14" w:name="_bookmark52"/>
    <w:bookmarkEnd w:id="14"/>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"http://refhub.elsevier.com/S0263-2241(26)00850-X/h0080" \h </w:instrText>
      </w:r>
      <w:r w:rsidRPr="00384A8E">
        <w:fldChar w:fldCharType="end"/>
      </w:r>
      <w:hyperlink r:id="rId108">
        <w:r w:rsidRPr="00384A8E">
          <w:rPr>
            <w:rStyle w:val="aa"/>
            <w:color w:val="auto"/>
          </w:rPr>
          <w:t>针对逆向工程和自动化控制应用的</w:t>
        </w:r>
      </w:hyperlink>
      <w:r w:rsidRPr="00384A8E">
        <w:t>视图</w:t>
      </w:r>
      <w:hyperlink r:id="rId109">
        <w:r w:rsidRPr="00384A8E">
          <w:rPr>
            <w:rStyle w:val="aa"/>
            <w:color w:val="auto"/>
          </w:rPr>
          <w:t>规划问题</w:t>
        </w:r>
      </w:hyperlink>
      <w:r w:rsidRPr="00384A8E">
        <w:t>》</w:t>
      </w:r>
      <w:hyperlink r:id="rId110">
        <w:r w:rsidRPr="00384A8E">
          <w:rPr>
            <w:rStyle w:val="aa"/>
            <w:color w:val="auto"/>
          </w:rPr>
          <w:t>，《</w:t>
        </w:r>
      </w:hyperlink>
      <w:hyperlink r:id="rId111">
        <w:r w:rsidRPr="00384A8E">
          <w:rPr>
            <w:rStyle w:val="aa"/>
            <w:color w:val="auto"/>
          </w:rPr>
          <w:t>计算机辅助设计</w:t>
        </w:r>
      </w:hyperlink>
      <w:hyperlink r:id="rId112">
        <w:r w:rsidRPr="00384A8E">
          <w:rPr>
            <w:rStyle w:val="aa"/>
            <w:color w:val="auto"/>
          </w:rPr>
          <w:t>》（</w:t>
        </w:r>
      </w:hyperlink>
      <w:hyperlink r:id="rId113">
        <w:r w:rsidRPr="00384A8E">
          <w:rPr>
            <w:rStyle w:val="aa"/>
            <w:color w:val="auto"/>
          </w:rPr>
          <w:t>Comput. Aided Des.</w:t>
        </w:r>
        <w:r w:rsidRPr="00384A8E">
          <w:rPr>
            <w:rStyle w:val="aa"/>
            <w:color w:val="auto"/>
          </w:rPr>
          <w:t>）</w:t>
        </w:r>
        <w:r w:rsidRPr="00384A8E">
          <w:rPr>
            <w:rStyle w:val="aa"/>
            <w:color w:val="auto"/>
          </w:rPr>
          <w:t>141 (2021) 103094</w:t>
        </w:r>
      </w:hyperlink>
      <w:r w:rsidRPr="00384A8E">
        <w:t>。</w:t>
      </w:r>
    </w:p>
    <w:bookmarkStart w:id="15" w:name="_bookmark53"/>
    <w:bookmarkEnd w:id="15"/>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"http://refhub.elsevier.com/S0263-2241(26)00850-X/h0085" \h </w:instrText>
      </w:r>
      <w:r w:rsidRPr="00384A8E">
        <w:fldChar w:fldCharType="separate"/>
      </w:r>
      <w:r w:rsidRPr="00384A8E">
        <w:rPr>
          <w:rStyle w:val="aa"/>
          <w:color w:val="auto"/>
        </w:rPr>
        <w:t xml:space="preserve">M. Gronle, W. Osten, </w:t>
      </w:r>
      <w:r w:rsidRPr="00384A8E">
        <w:rPr>
          <w:rStyle w:val="aa"/>
          <w:color w:val="auto"/>
        </w:rPr>
        <w:t>多传感器表面检测中的视图与传感器规划</w:t>
      </w:r>
      <w:r w:rsidRPr="00384A8E">
        <w:t>，</w:t>
      </w:r>
      <w:r w:rsidRPr="00384A8E">
        <w:fldChar w:fldCharType="end"/>
      </w:r>
      <w:r w:rsidRPr="00384A8E">
        <w:t xml:space="preserve"> </w:t>
      </w:r>
      <w:hyperlink r:id="rId114">
        <w:r w:rsidRPr="00384A8E">
          <w:rPr>
            <w:rStyle w:val="aa"/>
            <w:color w:val="auto"/>
          </w:rPr>
          <w:t>Surf. Topogr. Metrol. Prop. 4 (2) (2016) 024009</w:t>
        </w:r>
      </w:hyperlink>
      <w:r w:rsidRPr="00384A8E">
        <w:t>.</w:t>
      </w:r>
    </w:p>
    <w:bookmarkStart w:id="16" w:name="_bookmark54"/>
    <w:bookmarkEnd w:id="16"/>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"http://refhub.elsevier.com/S0263-2241(26)00850-X/h0090" \h </w:instrText>
      </w:r>
      <w:r w:rsidRPr="00384A8E">
        <w:fldChar w:fldCharType="separate"/>
      </w:r>
      <w:r w:rsidRPr="00384A8E">
        <w:rPr>
          <w:rStyle w:val="aa"/>
          <w:color w:val="auto"/>
        </w:rPr>
        <w:t>D. Mosbach, P. Gospodneti´c, M. Rauhut, B. Hamann, H. Hagen,</w:t>
      </w:r>
      <w:r w:rsidR="00384A8E" w:rsidRPr="00384A8E">
        <w:t xml:space="preserve"> </w:t>
      </w:r>
      <w:r w:rsidR="00384A8E" w:rsidRPr="00384A8E">
        <w:t>基于特征的</w:t>
      </w:r>
      <w:r w:rsidRPr="00384A8E">
        <w:fldChar w:fldCharType="end"/>
      </w:r>
      <w:r w:rsidR="00384A8E" w:rsidRPr="00384A8E">
        <w:t xml:space="preserve"> </w:t>
      </w:r>
      <w:hyperlink r:id="rId115">
        <w:r w:rsidRPr="00384A8E">
          <w:rPr>
            <w:rStyle w:val="aa"/>
            <w:color w:val="auto"/>
          </w:rPr>
          <w:t>视点定位方法</w:t>
        </w:r>
        <w:r w:rsidRPr="00384A8E">
          <w:rPr>
            <w:rStyle w:val="aa"/>
            <w:color w:val="auto"/>
          </w:rPr>
          <w:lastRenderedPageBreak/>
          <w:t>在基于模型的表面检测中的应用，《</w:t>
        </w:r>
        <w:r w:rsidRPr="00384A8E">
          <w:rPr>
            <w:rStyle w:val="aa"/>
            <w:color w:val="auto"/>
          </w:rPr>
          <w:t>Mach. Vis. Appl.</w:t>
        </w:r>
        <w:r w:rsidRPr="00384A8E">
          <w:rPr>
            <w:rStyle w:val="aa"/>
            <w:color w:val="auto"/>
          </w:rPr>
          <w:t>》</w:t>
        </w:r>
        <w:r w:rsidRPr="00384A8E">
          <w:rPr>
            <w:rStyle w:val="aa"/>
            <w:color w:val="auto"/>
          </w:rPr>
          <w:t xml:space="preserve">32 (1) </w:t>
        </w:r>
      </w:hyperlink>
      <w:hyperlink r:id="rId116">
        <w:r w:rsidRPr="00384A8E">
          <w:rPr>
            <w:rStyle w:val="aa"/>
            <w:color w:val="auto"/>
          </w:rPr>
          <w:t>(2021) 8</w:t>
        </w:r>
      </w:hyperlink>
      <w:r w:rsidRPr="00384A8E">
        <w:t>.</w:t>
      </w:r>
    </w:p>
    <w:bookmarkStart w:id="17" w:name="_bookmark55"/>
    <w:bookmarkEnd w:id="17"/>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"http://refhub.elsevier.com/S0263-2241(26)00850-X/h0095" \h </w:instrText>
      </w:r>
      <w:r w:rsidRPr="00384A8E">
        <w:fldChar w:fldCharType="separate"/>
      </w:r>
      <w:r w:rsidRPr="00384A8E">
        <w:rPr>
          <w:rStyle w:val="aa"/>
          <w:color w:val="auto"/>
        </w:rPr>
        <w:t>W. Jing, K. Shimada,</w:t>
      </w:r>
      <w:hyperlink r:id="rId117">
        <w:r w:rsidRPr="00384A8E">
          <w:rPr>
            <w:rStyle w:val="aa"/>
            <w:color w:val="auto"/>
          </w:rPr>
          <w:t xml:space="preserve"> </w:t>
        </w:r>
        <w:r w:rsidRPr="00384A8E">
          <w:rPr>
            <w:rStyle w:val="aa"/>
            <w:color w:val="auto"/>
          </w:rPr>
          <w:t>基于体素膨胀、中值对象和随机键</w:t>
        </w:r>
      </w:hyperlink>
      <w:hyperlink r:id="rId118">
        <w:r w:rsidRPr="00384A8E">
          <w:rPr>
            <w:rStyle w:val="aa"/>
            <w:color w:val="auto"/>
          </w:rPr>
          <w:t>遗传算法的</w:t>
        </w:r>
      </w:hyperlink>
      <w:r w:rsidRPr="00384A8E">
        <w:fldChar w:fldCharType="end"/>
      </w:r>
      <w:r w:rsidRPr="00384A8E">
        <w:t xml:space="preserve"> </w:t>
      </w:r>
      <w:hyperlink r:id="rId119">
        <w:r w:rsidRPr="00384A8E">
          <w:rPr>
            <w:rStyle w:val="aa"/>
            <w:color w:val="auto"/>
          </w:rPr>
          <w:t>监控的基于模型的</w:t>
        </w:r>
      </w:hyperlink>
      <w:hyperlink r:id="rId120">
        <w:r w:rsidRPr="00384A8E">
          <w:rPr>
            <w:rStyle w:val="aa"/>
            <w:color w:val="auto"/>
          </w:rPr>
          <w:t>，《计算机设计与工程杂志》</w:t>
        </w:r>
        <w:r w:rsidRPr="00384A8E">
          <w:rPr>
            <w:rStyle w:val="aa"/>
            <w:color w:val="auto"/>
          </w:rPr>
          <w:t>5 (3) (2018)</w:t>
        </w:r>
      </w:hyperlink>
      <w:r w:rsidRPr="00384A8E">
        <w:t xml:space="preserve"> </w:t>
      </w:r>
      <w:hyperlink r:id="rId121">
        <w:r w:rsidRPr="00384A8E">
          <w:rPr>
            <w:rStyle w:val="aa"/>
            <w:color w:val="auto"/>
          </w:rPr>
          <w:t>337–347</w:t>
        </w:r>
      </w:hyperlink>
      <w:r w:rsidRPr="00384A8E">
        <w:t>.</w:t>
      </w:r>
    </w:p>
    <w:bookmarkStart w:id="18" w:name="_bookmark56"/>
    <w:bookmarkEnd w:id="18"/>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"http://refhub.elsevier.com/S0263-2241(26)00850-X/h0100" \h </w:instrText>
      </w:r>
      <w:r w:rsidRPr="00384A8E">
        <w:fldChar w:fldCharType="separate"/>
      </w:r>
      <w:r w:rsidRPr="00384A8E">
        <w:rPr>
          <w:rStyle w:val="aa"/>
          <w:color w:val="auto"/>
        </w:rPr>
        <w:t xml:space="preserve">F. Kong, F. Du, D. Zhao, </w:t>
      </w:r>
      <w:r w:rsidRPr="00384A8E">
        <w:rPr>
          <w:rStyle w:val="aa"/>
          <w:color w:val="auto"/>
        </w:rPr>
        <w:t>面向</w:t>
      </w:r>
      <w:r w:rsidRPr="00384A8E">
        <w:fldChar w:fldCharType="end"/>
      </w:r>
      <w:r w:rsidRPr="00384A8E">
        <w:t xml:space="preserve"> </w:t>
      </w:r>
      <w:hyperlink r:id="rId122">
        <w:r w:rsidRPr="00384A8E">
          <w:rPr>
            <w:rStyle w:val="aa"/>
            <w:color w:val="auto"/>
          </w:rPr>
          <w:t>移动视觉检测的，《机器人、计算与集成制造》</w:t>
        </w:r>
        <w:r w:rsidRPr="00384A8E">
          <w:rPr>
            <w:rStyle w:val="aa"/>
            <w:color w:val="auto"/>
          </w:rPr>
          <w:t>91 (2025) 102821</w:t>
        </w:r>
      </w:hyperlink>
      <w:r w:rsidRPr="00384A8E">
        <w:t>.</w:t>
      </w:r>
    </w:p>
    <w:bookmarkStart w:id="19" w:name="_bookmark57"/>
    <w:bookmarkEnd w:id="19"/>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"http://refhub.elsevier.com/S0263-2241(26)00850-X/h0105" \h </w:instrText>
      </w:r>
      <w:r w:rsidRPr="00384A8E">
        <w:fldChar w:fldCharType="separate"/>
      </w:r>
      <w:r w:rsidRPr="00384A8E">
        <w:rPr>
          <w:rStyle w:val="aa"/>
          <w:color w:val="auto"/>
        </w:rPr>
        <w:t xml:space="preserve">M. Mahmud, D. Joannic, M. Roy, A. Isheil, J.F. Fontaine, </w:t>
      </w:r>
      <w:hyperlink r:id="rId123">
        <w:r w:rsidRPr="00384A8E">
          <w:rPr>
            <w:rStyle w:val="aa"/>
            <w:color w:val="auto"/>
          </w:rPr>
          <w:t>“</w:t>
        </w:r>
        <w:r w:rsidRPr="00384A8E">
          <w:rPr>
            <w:rStyle w:val="aa"/>
            <w:color w:val="auto"/>
          </w:rPr>
          <w:t>一种具有不确定性控制的激光扫描仪</w:t>
        </w:r>
      </w:hyperlink>
      <w:r w:rsidRPr="00384A8E">
        <w:fldChar w:fldCharType="end"/>
      </w:r>
      <w:r w:rsidRPr="00384A8E">
        <w:t xml:space="preserve"> </w:t>
      </w:r>
      <w:hyperlink r:id="rId124">
        <w:r w:rsidRPr="00384A8E">
          <w:rPr>
            <w:rStyle w:val="aa"/>
            <w:color w:val="auto"/>
          </w:rPr>
          <w:t>规划</w:t>
        </w:r>
        <w:r w:rsidRPr="00384A8E">
          <w:rPr>
            <w:rStyle w:val="aa"/>
            <w:color w:val="auto"/>
          </w:rPr>
          <w:t>”</w:t>
        </w:r>
        <w:r w:rsidRPr="00384A8E">
          <w:rPr>
            <w:rStyle w:val="aa"/>
            <w:color w:val="auto"/>
          </w:rPr>
          <w:t>，《计算机辅助设计》</w:t>
        </w:r>
        <w:r w:rsidRPr="00384A8E">
          <w:rPr>
            <w:rStyle w:val="aa"/>
            <w:color w:val="auto"/>
          </w:rPr>
          <w:t>43</w:t>
        </w:r>
      </w:hyperlink>
      <w:hyperlink r:id="rId125">
        <w:r w:rsidRPr="00384A8E">
          <w:rPr>
            <w:rStyle w:val="aa"/>
            <w:color w:val="auto"/>
          </w:rPr>
          <w:t>(4) (2011) 345–355</w:t>
        </w:r>
      </w:hyperlink>
      <w:r w:rsidRPr="00384A8E">
        <w:t>。</w:t>
      </w:r>
    </w:p>
    <w:bookmarkStart w:id="20" w:name="_bookmark58"/>
    <w:bookmarkEnd w:id="20"/>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"http://refhub.elsevier.com/S0263-2241(26)00850-X/h0110" \h </w:instrText>
      </w:r>
      <w:r w:rsidRPr="00384A8E">
        <w:fldChar w:fldCharType="separate"/>
      </w:r>
      <w:r w:rsidRPr="00384A8E">
        <w:rPr>
          <w:rStyle w:val="aa"/>
          <w:color w:val="auto"/>
        </w:rPr>
        <w:t>Y. Wang, T. Peng, W. Wang, M. Luo,</w:t>
      </w:r>
      <w:hyperlink r:id="rId126">
        <w:r w:rsidRPr="00384A8E">
          <w:rPr>
            <w:rStyle w:val="aa"/>
            <w:color w:val="auto"/>
          </w:rPr>
          <w:t xml:space="preserve"> </w:t>
        </w:r>
        <w:r w:rsidRPr="00384A8E">
          <w:rPr>
            <w:rStyle w:val="aa"/>
            <w:color w:val="auto"/>
          </w:rPr>
          <w:t>基于并行深度强化学习</w:t>
        </w:r>
      </w:hyperlink>
      <w:r w:rsidRPr="00384A8E">
        <w:t>曲面</w:t>
      </w:r>
      <w:r w:rsidRPr="00384A8E">
        <w:fldChar w:fldCharType="end"/>
      </w:r>
      <w:r w:rsidRPr="00384A8E">
        <w:t xml:space="preserve"> </w:t>
      </w:r>
      <w:hyperlink r:id="rId127">
        <w:r w:rsidRPr="00384A8E">
          <w:rPr>
            <w:rStyle w:val="aa"/>
            <w:color w:val="auto"/>
          </w:rPr>
          <w:t>检测视图规划，《工程信息进展》</w:t>
        </w:r>
        <w:r w:rsidRPr="00384A8E">
          <w:rPr>
            <w:rStyle w:val="aa"/>
            <w:color w:val="auto"/>
          </w:rPr>
          <w:t>55 (2023)</w:t>
        </w:r>
      </w:hyperlink>
      <w:hyperlink r:id="rId128">
        <w:r w:rsidRPr="00384A8E">
          <w:rPr>
            <w:rStyle w:val="aa"/>
            <w:color w:val="auto"/>
          </w:rPr>
          <w:t xml:space="preserve"> 101849</w:t>
        </w:r>
      </w:hyperlink>
      <w:r w:rsidRPr="00384A8E">
        <w:t>.</w:t>
      </w:r>
    </w:p>
    <w:bookmarkStart w:id="21" w:name="_bookmark59"/>
    <w:bookmarkEnd w:id="21"/>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"http://refhub.elsevier.com/S0263-2241(26)00850-X/h0115" \h </w:instrText>
      </w:r>
      <w:r w:rsidRPr="00384A8E">
        <w:fldChar w:fldCharType="separate"/>
      </w:r>
      <w:r w:rsidRPr="00384A8E">
        <w:rPr>
          <w:rStyle w:val="aa"/>
          <w:color w:val="auto"/>
        </w:rPr>
        <w:t>S. Wang, Y. Tong, X. Shang, Z. Zhang,</w:t>
      </w:r>
      <w:hyperlink r:id="rId129">
        <w:r w:rsidRPr="00384A8E">
          <w:rPr>
            <w:rStyle w:val="aa"/>
            <w:color w:val="auto"/>
          </w:rPr>
          <w:t xml:space="preserve"> </w:t>
        </w:r>
        <w:r w:rsidRPr="00384A8E">
          <w:rPr>
            <w:rStyle w:val="aa"/>
            <w:color w:val="auto"/>
          </w:rPr>
          <w:t>工业产品检测中</w:t>
        </w:r>
      </w:hyperlink>
      <w:r w:rsidRPr="00384A8E">
        <w:fldChar w:fldCharType="end"/>
      </w:r>
      <w:hyperlink r:id="rId130">
        <w:r w:rsidRPr="00384A8E">
          <w:rPr>
            <w:rStyle w:val="aa"/>
            <w:color w:val="auto"/>
          </w:rPr>
          <w:t xml:space="preserve"> </w:t>
        </w:r>
        <w:r w:rsidRPr="00384A8E">
          <w:rPr>
            <w:rStyle w:val="aa"/>
            <w:color w:val="auto"/>
          </w:rPr>
          <w:t>曲面的规划，《</w:t>
        </w:r>
        <w:r w:rsidRPr="00384A8E">
          <w:rPr>
            <w:rStyle w:val="aa"/>
            <w:color w:val="auto"/>
          </w:rPr>
          <w:t>IEEE/ASME</w:t>
        </w:r>
        <w:r w:rsidRPr="00384A8E">
          <w:rPr>
            <w:rStyle w:val="aa"/>
            <w:color w:val="auto"/>
          </w:rPr>
          <w:t>机电一体化汇刊》</w:t>
        </w:r>
        <w:r w:rsidRPr="00384A8E">
          <w:rPr>
            <w:rStyle w:val="aa"/>
            <w:color w:val="auto"/>
          </w:rPr>
          <w:t xml:space="preserve">29(5) </w:t>
        </w:r>
      </w:hyperlink>
      <w:hyperlink r:id="rId131">
        <w:r w:rsidRPr="00384A8E">
          <w:rPr>
            <w:rStyle w:val="aa"/>
            <w:color w:val="auto"/>
          </w:rPr>
          <w:t>(2023) 3289–3299</w:t>
        </w:r>
      </w:hyperlink>
      <w:r w:rsidRPr="00384A8E">
        <w:t>.</w:t>
      </w:r>
    </w:p>
    <w:p w:rsidR="003F79C2" w:rsidRPr="00384A8E" w:rsidRDefault="008330F3" w:rsidP="00FA4C95">
      <w:pPr>
        <w:pStyle w:val="a9"/>
        <w:numPr>
          <w:ilvl w:val="0"/>
          <w:numId w:val="9"/>
        </w:numPr>
        <w:ind w:firstLineChars="0"/>
      </w:pPr>
      <w:hyperlink r:id="rId132">
        <w:r w:rsidR="003F79C2" w:rsidRPr="00384A8E">
          <w:rPr>
            <w:rStyle w:val="aa"/>
            <w:color w:val="auto"/>
          </w:rPr>
          <w:t xml:space="preserve">B. Urtasun, I. Andonegui, E. Gorostegui-Colinas, </w:t>
        </w:r>
        <w:r w:rsidR="003F79C2" w:rsidRPr="00384A8E">
          <w:rPr>
            <w:rStyle w:val="aa"/>
            <w:color w:val="auto"/>
          </w:rPr>
          <w:t>基于稀疏采样的</w:t>
        </w:r>
      </w:hyperlink>
      <w:hyperlink r:id="rId133">
        <w:r w:rsidR="003F79C2" w:rsidRPr="00384A8E">
          <w:rPr>
            <w:rStyle w:val="aa"/>
            <w:color w:val="auto"/>
          </w:rPr>
          <w:t>复杂几何形状视图规划</w:t>
        </w:r>
        <w:r w:rsidR="003F79C2" w:rsidRPr="00384A8E">
          <w:rPr>
            <w:rStyle w:val="aa"/>
            <w:color w:val="auto"/>
          </w:rPr>
          <w:t xml:space="preserve">, </w:t>
        </w:r>
        <w:r w:rsidR="003F79C2" w:rsidRPr="00384A8E">
          <w:rPr>
            <w:rStyle w:val="aa"/>
            <w:color w:val="auto"/>
          </w:rPr>
          <w:t>《</w:t>
        </w:r>
        <w:r w:rsidR="003F79C2" w:rsidRPr="00384A8E">
          <w:rPr>
            <w:rStyle w:val="aa"/>
            <w:color w:val="auto"/>
          </w:rPr>
          <w:t xml:space="preserve">IEEE </w:t>
        </w:r>
        <w:r w:rsidR="003F79C2" w:rsidRPr="00384A8E">
          <w:rPr>
            <w:rStyle w:val="aa"/>
            <w:color w:val="auto"/>
          </w:rPr>
          <w:t>传感器杂志》</w:t>
        </w:r>
        <w:r w:rsidR="003F79C2" w:rsidRPr="00384A8E">
          <w:rPr>
            <w:rStyle w:val="aa"/>
            <w:color w:val="auto"/>
          </w:rPr>
          <w:t xml:space="preserve"> 24 (9) (2024) 14992–15003</w:t>
        </w:r>
      </w:hyperlink>
      <w:r w:rsidR="003F79C2" w:rsidRPr="00384A8E">
        <w:t>.</w:t>
      </w:r>
    </w:p>
    <w:p w:rsidR="003F79C2" w:rsidRPr="00384A8E" w:rsidRDefault="008330F3" w:rsidP="00FA4C95">
      <w:pPr>
        <w:pStyle w:val="a9"/>
        <w:numPr>
          <w:ilvl w:val="0"/>
          <w:numId w:val="9"/>
        </w:numPr>
        <w:ind w:firstLineChars="0"/>
      </w:pPr>
      <w:hyperlink r:id="rId134">
        <w:r w:rsidR="003F79C2" w:rsidRPr="00384A8E">
          <w:rPr>
            <w:rStyle w:val="aa"/>
            <w:color w:val="auto"/>
          </w:rPr>
          <w:t>Z. Huang</w:t>
        </w:r>
      </w:hyperlink>
      <w:hyperlink r:id="rId135">
        <w:r w:rsidR="003F79C2" w:rsidRPr="00384A8E">
          <w:rPr>
            <w:rStyle w:val="aa"/>
            <w:color w:val="auto"/>
          </w:rPr>
          <w:t>，基于无人机</w:t>
        </w:r>
      </w:hyperlink>
      <w:hyperlink r:id="rId136">
        <w:r w:rsidR="003F79C2" w:rsidRPr="00384A8E">
          <w:rPr>
            <w:rStyle w:val="aa"/>
            <w:color w:val="auto"/>
          </w:rPr>
          <w:t>的大型飞机</w:t>
        </w:r>
      </w:hyperlink>
      <w:hyperlink r:id="rId137">
        <w:r w:rsidR="003F79C2" w:rsidRPr="00384A8E">
          <w:rPr>
            <w:rStyle w:val="aa"/>
            <w:color w:val="auto"/>
          </w:rPr>
          <w:t>上表面</w:t>
        </w:r>
      </w:hyperlink>
      <w:hyperlink r:id="rId138">
        <w:r w:rsidR="003F79C2" w:rsidRPr="00384A8E">
          <w:rPr>
            <w:rStyle w:val="aa"/>
            <w:color w:val="auto"/>
          </w:rPr>
          <w:t>视觉检测覆盖任务的视图规划</w:t>
        </w:r>
      </w:hyperlink>
      <w:hyperlink r:id="rId139">
        <w:r w:rsidR="003F79C2" w:rsidRPr="00384A8E">
          <w:rPr>
            <w:rStyle w:val="aa"/>
            <w:color w:val="auto"/>
          </w:rPr>
          <w:t>，《仿生智能机器人》</w:t>
        </w:r>
        <w:r w:rsidR="003F79C2" w:rsidRPr="00384A8E">
          <w:rPr>
            <w:rStyle w:val="aa"/>
            <w:color w:val="auto"/>
          </w:rPr>
          <w:t>100228 (2025)</w:t>
        </w:r>
      </w:hyperlink>
      <w:r w:rsidR="003F79C2" w:rsidRPr="00384A8E">
        <w:t>。</w:t>
      </w:r>
    </w:p>
    <w:bookmarkStart w:id="22" w:name="_bookmark60"/>
    <w:bookmarkEnd w:id="22"/>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"http://refhub.elsevier.com/S0263-2241(26)00850-X/h0130" \h </w:instrText>
      </w:r>
      <w:r w:rsidRPr="00384A8E">
        <w:fldChar w:fldCharType="separate"/>
      </w:r>
      <w:r w:rsidRPr="00384A8E">
        <w:rPr>
          <w:rStyle w:val="aa"/>
          <w:color w:val="auto"/>
        </w:rPr>
        <w:t>Y. Liu, W. Zhao, H. Liu, Y. Wang, X. Yue,</w:t>
      </w:r>
      <w:hyperlink r:id="rId140">
        <w:r w:rsidRPr="00384A8E">
          <w:rPr>
            <w:rStyle w:val="aa"/>
            <w:color w:val="auto"/>
          </w:rPr>
          <w:t xml:space="preserve"> </w:t>
        </w:r>
        <w:r w:rsidRPr="00384A8E">
          <w:rPr>
            <w:rStyle w:val="aa"/>
            <w:color w:val="auto"/>
          </w:rPr>
          <w:t>具有测量不确定度控制的</w:t>
        </w:r>
      </w:hyperlink>
      <w:r w:rsidRPr="00384A8E">
        <w:t>机器人</w:t>
      </w:r>
      <w:r w:rsidRPr="00384A8E">
        <w:fldChar w:fldCharType="end"/>
      </w:r>
      <w:r w:rsidRPr="00384A8E">
        <w:t xml:space="preserve"> </w:t>
      </w:r>
      <w:hyperlink r:id="rId141">
        <w:r w:rsidRPr="00384A8E">
          <w:rPr>
            <w:rStyle w:val="aa"/>
            <w:color w:val="auto"/>
          </w:rPr>
          <w:t>质量检测，</w:t>
        </w:r>
        <w:r w:rsidRPr="00384A8E">
          <w:rPr>
            <w:rStyle w:val="aa"/>
            <w:color w:val="auto"/>
          </w:rPr>
          <w:t>IEEE/ASME</w:t>
        </w:r>
        <w:r w:rsidRPr="00384A8E">
          <w:rPr>
            <w:rStyle w:val="aa"/>
            <w:color w:val="auto"/>
          </w:rPr>
          <w:t>《</w:t>
        </w:r>
      </w:hyperlink>
      <w:hyperlink r:id="rId142">
        <w:r w:rsidRPr="00384A8E">
          <w:rPr>
            <w:rStyle w:val="aa"/>
            <w:color w:val="auto"/>
          </w:rPr>
          <w:t>机电一体化汇刊》</w:t>
        </w:r>
        <w:r w:rsidRPr="00384A8E">
          <w:rPr>
            <w:rStyle w:val="aa"/>
            <w:color w:val="auto"/>
          </w:rPr>
          <w:t>27 (5) (2022) 3482–3493</w:t>
        </w:r>
      </w:hyperlink>
      <w:r w:rsidRPr="00384A8E">
        <w:t>.</w:t>
      </w:r>
    </w:p>
    <w:bookmarkStart w:id="23" w:name="_bookmark61"/>
    <w:bookmarkEnd w:id="23"/>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"http://refhub.elsevier.com/S0263-2241(26)00850-X/h0135" \h </w:instrText>
      </w:r>
      <w:r w:rsidRPr="00384A8E">
        <w:fldChar w:fldCharType="separate"/>
      </w:r>
      <w:r w:rsidRPr="00384A8E">
        <w:rPr>
          <w:rStyle w:val="aa"/>
          <w:color w:val="auto"/>
        </w:rPr>
        <w:t>张大，尤晓，刘帅，潘浩，</w:t>
      </w:r>
      <w:hyperlink r:id="rId143">
        <w:r w:rsidRPr="00384A8E">
          <w:rPr>
            <w:rStyle w:val="aa"/>
            <w:color w:val="auto"/>
          </w:rPr>
          <w:t>基于蚁群</w:t>
        </w:r>
      </w:hyperlink>
      <w:r w:rsidRPr="00384A8E">
        <w:fldChar w:fldCharType="end"/>
      </w:r>
      <w:r w:rsidRPr="00384A8E">
        <w:t xml:space="preserve"> </w:t>
      </w:r>
      <w:hyperlink r:id="rId144">
        <w:r w:rsidRPr="00384A8E">
          <w:rPr>
            <w:rStyle w:val="aa"/>
            <w:color w:val="auto"/>
          </w:rPr>
          <w:t>的机器人路径规划优化，</w:t>
        </w:r>
        <w:r w:rsidRPr="00384A8E">
          <w:rPr>
            <w:rStyle w:val="aa"/>
            <w:color w:val="auto"/>
          </w:rPr>
          <w:t>IEEE Access 8 (2020)</w:t>
        </w:r>
      </w:hyperlink>
      <w:hyperlink r:id="rId145">
        <w:r w:rsidRPr="00384A8E">
          <w:rPr>
            <w:rStyle w:val="aa"/>
            <w:color w:val="auto"/>
          </w:rPr>
          <w:t xml:space="preserve"> 129958–129974</w:t>
        </w:r>
      </w:hyperlink>
      <w:r w:rsidRPr="00384A8E">
        <w:t>。</w:t>
      </w:r>
    </w:p>
    <w:bookmarkStart w:id="24" w:name="_bookmark62"/>
    <w:bookmarkEnd w:id="24"/>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"http://refhub.elsevier.com/S0263-2241(26)00850-X/h0140" \h </w:instrText>
      </w:r>
      <w:r w:rsidRPr="00384A8E">
        <w:fldChar w:fldCharType="separate"/>
      </w:r>
      <w:r w:rsidRPr="00384A8E">
        <w:rPr>
          <w:rStyle w:val="aa"/>
          <w:color w:val="auto"/>
        </w:rPr>
        <w:t xml:space="preserve">L. Jiacheng, L. Lei, </w:t>
      </w:r>
      <w:r w:rsidRPr="00384A8E">
        <w:rPr>
          <w:rStyle w:val="aa"/>
          <w:color w:val="auto"/>
        </w:rPr>
        <w:t>基于信息熵和</w:t>
      </w:r>
      <w:r w:rsidRPr="00384A8E">
        <w:fldChar w:fldCharType="end"/>
      </w:r>
      <w:r w:rsidRPr="00384A8E">
        <w:t xml:space="preserve"> </w:t>
      </w:r>
      <w:hyperlink r:id="rId146">
        <w:r w:rsidRPr="00384A8E">
          <w:rPr>
            <w:rStyle w:val="aa"/>
            <w:color w:val="auto"/>
          </w:rPr>
          <w:t>博弈论的</w:t>
        </w:r>
        <w:r w:rsidRPr="00384A8E">
          <w:rPr>
            <w:rStyle w:val="aa"/>
            <w:color w:val="auto"/>
          </w:rPr>
          <w:t xml:space="preserve">, </w:t>
        </w:r>
        <w:r w:rsidRPr="00384A8E">
          <w:rPr>
            <w:rStyle w:val="aa"/>
            <w:color w:val="auto"/>
          </w:rPr>
          <w:t>《</w:t>
        </w:r>
        <w:r w:rsidRPr="00384A8E">
          <w:rPr>
            <w:rStyle w:val="aa"/>
            <w:color w:val="auto"/>
          </w:rPr>
          <w:t>IEEE Access</w:t>
        </w:r>
        <w:r w:rsidRPr="00384A8E">
          <w:rPr>
            <w:rStyle w:val="aa"/>
            <w:color w:val="auto"/>
          </w:rPr>
          <w:t>》</w:t>
        </w:r>
        <w:r w:rsidRPr="00384A8E">
          <w:rPr>
            <w:rStyle w:val="aa"/>
            <w:color w:val="auto"/>
          </w:rPr>
          <w:t xml:space="preserve"> 8 (2020) 36602–36611</w:t>
        </w:r>
      </w:hyperlink>
      <w:r w:rsidRPr="00384A8E">
        <w:t>.</w:t>
      </w:r>
    </w:p>
    <w:p w:rsidR="003F79C2" w:rsidRPr="00384A8E" w:rsidRDefault="008330F3" w:rsidP="00FA4C95">
      <w:pPr>
        <w:pStyle w:val="a9"/>
        <w:numPr>
          <w:ilvl w:val="0"/>
          <w:numId w:val="9"/>
        </w:numPr>
        <w:ind w:firstLineChars="0"/>
      </w:pPr>
      <w:hyperlink r:id="rId147">
        <w:r w:rsidR="003F79C2" w:rsidRPr="00384A8E">
          <w:rPr>
            <w:rStyle w:val="aa"/>
            <w:color w:val="auto"/>
          </w:rPr>
          <w:t>M.D. Phung, C.H. Quach, T.H. Dinh, Q. Ha,</w:t>
        </w:r>
      </w:hyperlink>
      <w:hyperlink r:id="rId148">
        <w:r w:rsidR="003F79C2" w:rsidRPr="00384A8E">
          <w:rPr>
            <w:rStyle w:val="aa"/>
            <w:color w:val="auto"/>
          </w:rPr>
          <w:t xml:space="preserve"> </w:t>
        </w:r>
        <w:r w:rsidR="003F79C2" w:rsidRPr="00384A8E">
          <w:rPr>
            <w:rStyle w:val="aa"/>
            <w:color w:val="auto"/>
          </w:rPr>
          <w:t>用于无人机视觉表面检测的</w:t>
        </w:r>
      </w:hyperlink>
      <w:hyperlink r:id="rId149">
        <w:r w:rsidR="003F79C2" w:rsidRPr="00384A8E">
          <w:rPr>
            <w:rStyle w:val="aa"/>
            <w:color w:val="auto"/>
          </w:rPr>
          <w:t>增强型离散粒子群</w:t>
        </w:r>
      </w:hyperlink>
      <w:hyperlink r:id="rId150">
        <w:r w:rsidR="003F79C2" w:rsidRPr="00384A8E">
          <w:rPr>
            <w:rStyle w:val="aa"/>
            <w:color w:val="auto"/>
          </w:rPr>
          <w:t>优化路径</w:t>
        </w:r>
        <w:r w:rsidR="003F79C2" w:rsidRPr="00384A8E">
          <w:rPr>
            <w:rStyle w:val="aa"/>
            <w:color w:val="auto"/>
          </w:rPr>
          <w:t xml:space="preserve"> </w:t>
        </w:r>
        <w:r w:rsidR="003F79C2" w:rsidRPr="00384A8E">
          <w:rPr>
            <w:rStyle w:val="aa"/>
            <w:color w:val="auto"/>
          </w:rPr>
          <w:t>规划</w:t>
        </w:r>
        <w:r w:rsidR="003F79C2" w:rsidRPr="00384A8E">
          <w:rPr>
            <w:rStyle w:val="aa"/>
            <w:color w:val="auto"/>
          </w:rPr>
          <w:t xml:space="preserve">, </w:t>
        </w:r>
        <w:r w:rsidR="003F79C2" w:rsidRPr="00384A8E">
          <w:rPr>
            <w:rStyle w:val="aa"/>
            <w:color w:val="auto"/>
          </w:rPr>
          <w:t>《</w:t>
        </w:r>
        <w:r w:rsidR="003F79C2" w:rsidRPr="00384A8E">
          <w:rPr>
            <w:rStyle w:val="aa"/>
            <w:color w:val="auto"/>
          </w:rPr>
          <w:t xml:space="preserve">Autom. </w:t>
        </w:r>
      </w:hyperlink>
      <w:hyperlink r:id="rId151">
        <w:r w:rsidR="003F79C2" w:rsidRPr="00384A8E">
          <w:rPr>
            <w:rStyle w:val="aa"/>
            <w:color w:val="auto"/>
          </w:rPr>
          <w:t>Constr.</w:t>
        </w:r>
        <w:r w:rsidR="003F79C2" w:rsidRPr="00384A8E">
          <w:rPr>
            <w:rStyle w:val="aa"/>
            <w:color w:val="auto"/>
          </w:rPr>
          <w:t>》</w:t>
        </w:r>
        <w:r w:rsidR="003F79C2" w:rsidRPr="00384A8E">
          <w:rPr>
            <w:rStyle w:val="aa"/>
            <w:color w:val="auto"/>
          </w:rPr>
          <w:t xml:space="preserve"> 81 (2017) 25–33</w:t>
        </w:r>
      </w:hyperlink>
      <w:r w:rsidR="003F79C2" w:rsidRPr="00384A8E">
        <w:t>.</w:t>
      </w:r>
    </w:p>
    <w:p w:rsidR="003F79C2" w:rsidRPr="00384A8E" w:rsidRDefault="008330F3" w:rsidP="00FA4C95">
      <w:pPr>
        <w:pStyle w:val="a9"/>
        <w:numPr>
          <w:ilvl w:val="0"/>
          <w:numId w:val="9"/>
        </w:numPr>
        <w:ind w:firstLineChars="0"/>
      </w:pPr>
      <w:hyperlink r:id="rId152">
        <w:r w:rsidR="003F79C2" w:rsidRPr="00384A8E">
          <w:rPr>
            <w:rStyle w:val="aa"/>
            <w:color w:val="auto"/>
          </w:rPr>
          <w:t xml:space="preserve">E. Glorieux, P. Franciosa, D. Ceglarek, </w:t>
        </w:r>
        <w:r w:rsidR="003F79C2" w:rsidRPr="00384A8E">
          <w:rPr>
            <w:rStyle w:val="aa"/>
            <w:color w:val="auto"/>
          </w:rPr>
          <w:t>基于</w:t>
        </w:r>
      </w:hyperlink>
      <w:hyperlink r:id="rId153">
        <w:r w:rsidR="003F79C2" w:rsidRPr="00384A8E">
          <w:rPr>
            <w:rStyle w:val="aa"/>
            <w:color w:val="auto"/>
          </w:rPr>
          <w:t>目标视点采样的</w:t>
        </w:r>
      </w:hyperlink>
      <w:hyperlink r:id="rId154">
        <w:r w:rsidR="003F79C2" w:rsidRPr="00384A8E">
          <w:rPr>
            <w:rStyle w:val="aa"/>
            <w:color w:val="auto"/>
          </w:rPr>
          <w:t>覆盖路径</w:t>
        </w:r>
      </w:hyperlink>
      <w:hyperlink r:id="rId155">
        <w:r w:rsidR="003F79C2" w:rsidRPr="00384A8E">
          <w:rPr>
            <w:rStyle w:val="aa"/>
            <w:color w:val="auto"/>
          </w:rPr>
          <w:t>规划用于机器人自由曲面检测，《机器人、计算</w:t>
        </w:r>
      </w:hyperlink>
      <w:hyperlink r:id="rId156">
        <w:r w:rsidR="003F79C2" w:rsidRPr="00384A8E">
          <w:rPr>
            <w:rStyle w:val="aa"/>
            <w:color w:val="auto"/>
          </w:rPr>
          <w:t>与集成制造》</w:t>
        </w:r>
        <w:r w:rsidR="003F79C2" w:rsidRPr="00384A8E">
          <w:rPr>
            <w:rStyle w:val="aa"/>
            <w:color w:val="auto"/>
          </w:rPr>
          <w:t>61 (2020) 101843</w:t>
        </w:r>
      </w:hyperlink>
      <w:r w:rsidR="003F79C2" w:rsidRPr="00384A8E">
        <w:t>.</w:t>
      </w:r>
    </w:p>
    <w:bookmarkStart w:id="25" w:name="_bookmark63"/>
    <w:bookmarkEnd w:id="25"/>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"http://refhub.elsevier.com/S0263-2241(26)00850-X/h0155" \h </w:instrText>
      </w:r>
      <w:r w:rsidRPr="00384A8E">
        <w:fldChar w:fldCharType="separate"/>
      </w:r>
      <w:r w:rsidRPr="00384A8E">
        <w:rPr>
          <w:rStyle w:val="aa"/>
          <w:color w:val="auto"/>
        </w:rPr>
        <w:t>H. Xia, L. Huo, Q. Sun, Y. Liu, Y. Yang,</w:t>
      </w:r>
      <w:hyperlink r:id="rId157">
        <w:r w:rsidRPr="00384A8E">
          <w:rPr>
            <w:rStyle w:val="aa"/>
            <w:color w:val="auto"/>
          </w:rPr>
          <w:t xml:space="preserve"> </w:t>
        </w:r>
        <w:r w:rsidRPr="00384A8E">
          <w:rPr>
            <w:rStyle w:val="aa"/>
            <w:color w:val="auto"/>
          </w:rPr>
          <w:t>基于多层特征聚合</w:t>
        </w:r>
        <w:r w:rsidRPr="00384A8E">
          <w:rPr>
            <w:rStyle w:val="aa"/>
            <w:color w:val="auto"/>
          </w:rPr>
          <w:t xml:space="preserve"> RainbowNet </w:t>
        </w:r>
        <w:r w:rsidRPr="00384A8E">
          <w:rPr>
            <w:rStyle w:val="aa"/>
            <w:color w:val="auto"/>
          </w:rPr>
          <w:t>的</w:t>
        </w:r>
      </w:hyperlink>
      <w:r w:rsidRPr="00384A8E">
        <w:fldChar w:fldCharType="end"/>
      </w:r>
      <w:r w:rsidRPr="00384A8E">
        <w:t xml:space="preserve"> </w:t>
      </w:r>
      <w:hyperlink r:id="rId158">
        <w:r w:rsidRPr="00384A8E">
          <w:rPr>
            <w:rStyle w:val="aa"/>
            <w:color w:val="auto"/>
          </w:rPr>
          <w:t>，《测量》</w:t>
        </w:r>
        <w:r w:rsidRPr="00384A8E">
          <w:rPr>
            <w:rStyle w:val="aa"/>
            <w:color w:val="auto"/>
          </w:rPr>
          <w:t>117710 (2025)</w:t>
        </w:r>
      </w:hyperlink>
      <w:r w:rsidRPr="00384A8E">
        <w:t>。</w:t>
      </w:r>
    </w:p>
    <w:bookmarkStart w:id="26" w:name="_bookmark64"/>
    <w:bookmarkEnd w:id="26"/>
    <w:p w:rsidR="003F79C2" w:rsidRPr="00384A8E" w:rsidRDefault="003F79C2" w:rsidP="00FA4C95">
      <w:pPr>
        <w:pStyle w:val="a9"/>
        <w:numPr>
          <w:ilvl w:val="0"/>
          <w:numId w:val="9"/>
        </w:numPr>
        <w:ind w:firstLineChars="0"/>
      </w:pPr>
      <w:r w:rsidRPr="00384A8E">
        <w:fldChar w:fldCharType="begin"/>
      </w:r>
      <w:r w:rsidRPr="00384A8E">
        <w:instrText xml:space="preserve"> HYPERLINK "http://refhub.elsevier.com/S0263-2241(26)00850-X/h0160" \h </w:instrText>
      </w:r>
      <w:r w:rsidRPr="00384A8E">
        <w:fldChar w:fldCharType="separate"/>
      </w:r>
      <w:r w:rsidRPr="00384A8E">
        <w:rPr>
          <w:rStyle w:val="aa"/>
          <w:color w:val="auto"/>
        </w:rPr>
        <w:t xml:space="preserve">L. He, N. Aouf, B. Song, </w:t>
      </w:r>
      <w:r w:rsidRPr="00384A8E">
        <w:rPr>
          <w:rStyle w:val="aa"/>
          <w:color w:val="auto"/>
        </w:rPr>
        <w:t>用于无人</w:t>
      </w:r>
      <w:r w:rsidRPr="00384A8E">
        <w:t>机</w:t>
      </w:r>
      <w:r w:rsidRPr="00384A8E">
        <w:fldChar w:fldCharType="end"/>
      </w:r>
      <w:r w:rsidRPr="00384A8E">
        <w:t xml:space="preserve"> </w:t>
      </w:r>
      <w:hyperlink r:id="rId159">
        <w:r w:rsidRPr="00384A8E">
          <w:rPr>
            <w:rStyle w:val="aa"/>
            <w:color w:val="auto"/>
          </w:rPr>
          <w:t>自主路径规划学习，《航空航天科学与技术》</w:t>
        </w:r>
        <w:r w:rsidRPr="00384A8E">
          <w:rPr>
            <w:rStyle w:val="aa"/>
            <w:color w:val="auto"/>
          </w:rPr>
          <w:t>118 (2021) 107052</w:t>
        </w:r>
      </w:hyperlink>
      <w:r w:rsidRPr="00384A8E">
        <w:t>.</w:t>
      </w:r>
    </w:p>
    <w:p w:rsidR="003F79C2" w:rsidRPr="00384A8E" w:rsidRDefault="003F79C2" w:rsidP="00FA4C95">
      <w:pPr>
        <w:pStyle w:val="a9"/>
        <w:numPr>
          <w:ilvl w:val="0"/>
          <w:numId w:val="9"/>
        </w:numPr>
        <w:ind w:firstLineChars="0"/>
      </w:pPr>
      <w:bookmarkStart w:id="27" w:name="_bookmark65"/>
      <w:bookmarkEnd w:id="27"/>
      <w:r w:rsidRPr="00384A8E">
        <w:t>C. Connolly</w:t>
      </w:r>
      <w:r w:rsidRPr="00384A8E">
        <w:t>，最佳下一个视角的确定，载于《</w:t>
      </w:r>
      <w:r w:rsidRPr="00384A8E">
        <w:t>1985</w:t>
      </w:r>
      <w:r w:rsidRPr="00384A8E">
        <w:t>年</w:t>
      </w:r>
      <w:r w:rsidRPr="00384A8E">
        <w:t>IEEE</w:t>
      </w:r>
      <w:r w:rsidRPr="00384A8E">
        <w:t>机器人与自动化国际会议论文集》第</w:t>
      </w:r>
      <w:r w:rsidRPr="00384A8E">
        <w:t>2</w:t>
      </w:r>
      <w:r w:rsidRPr="00384A8E">
        <w:t>卷第</w:t>
      </w:r>
      <w:r w:rsidRPr="00384A8E">
        <w:t>3</w:t>
      </w:r>
      <w:r w:rsidRPr="00384A8E">
        <w:t>期（</w:t>
      </w:r>
      <w:r w:rsidRPr="00384A8E">
        <w:t>1985</w:t>
      </w:r>
      <w:r w:rsidRPr="00384A8E">
        <w:t>年），第</w:t>
      </w:r>
      <w:r w:rsidRPr="00384A8E">
        <w:t>432-435</w:t>
      </w:r>
      <w:r w:rsidRPr="00384A8E">
        <w:t>页。</w:t>
      </w:r>
    </w:p>
    <w:p w:rsidR="003F79C2" w:rsidRPr="00384A8E" w:rsidRDefault="008330F3" w:rsidP="00FA4C95">
      <w:pPr>
        <w:pStyle w:val="a9"/>
        <w:numPr>
          <w:ilvl w:val="0"/>
          <w:numId w:val="9"/>
        </w:numPr>
        <w:ind w:firstLineChars="0"/>
      </w:pPr>
      <w:hyperlink r:id="rId160">
        <w:r w:rsidR="003F79C2" w:rsidRPr="00384A8E">
          <w:rPr>
            <w:rStyle w:val="aa"/>
            <w:color w:val="auto"/>
          </w:rPr>
          <w:t xml:space="preserve">J. Daudelin, M. Campbell, </w:t>
        </w:r>
        <w:r w:rsidR="003F79C2" w:rsidRPr="00384A8E">
          <w:rPr>
            <w:rStyle w:val="aa"/>
            <w:color w:val="auto"/>
          </w:rPr>
          <w:t>《一种用于</w:t>
        </w:r>
      </w:hyperlink>
      <w:hyperlink r:id="rId161">
        <w:r w:rsidR="003F79C2" w:rsidRPr="00384A8E">
          <w:rPr>
            <w:rStyle w:val="aa"/>
            <w:color w:val="auto"/>
          </w:rPr>
          <w:t>重建未知三维物体的</w:t>
        </w:r>
      </w:hyperlink>
      <w:hyperlink r:id="rId162">
        <w:r w:rsidR="003F79C2" w:rsidRPr="00384A8E">
          <w:rPr>
            <w:rStyle w:val="aa"/>
            <w:color w:val="auto"/>
          </w:rPr>
          <w:t>自适应、概率性次优视图算法》</w:t>
        </w:r>
      </w:hyperlink>
      <w:hyperlink r:id="rId163">
        <w:r w:rsidR="003F79C2" w:rsidRPr="00384A8E">
          <w:rPr>
            <w:rStyle w:val="aa"/>
            <w:color w:val="auto"/>
          </w:rPr>
          <w:t>，《</w:t>
        </w:r>
        <w:r w:rsidR="003F79C2" w:rsidRPr="00384A8E">
          <w:rPr>
            <w:rStyle w:val="aa"/>
            <w:color w:val="auto"/>
          </w:rPr>
          <w:t>IEEE</w:t>
        </w:r>
        <w:r w:rsidR="003F79C2" w:rsidRPr="00384A8E">
          <w:rPr>
            <w:rStyle w:val="aa"/>
            <w:color w:val="auto"/>
          </w:rPr>
          <w:t>机器人与自动化通讯》第</w:t>
        </w:r>
        <w:r w:rsidR="003F79C2" w:rsidRPr="00384A8E">
          <w:rPr>
            <w:rStyle w:val="aa"/>
            <w:color w:val="auto"/>
          </w:rPr>
          <w:t>2</w:t>
        </w:r>
        <w:r w:rsidR="003F79C2" w:rsidRPr="00384A8E">
          <w:rPr>
            <w:rStyle w:val="aa"/>
            <w:color w:val="auto"/>
          </w:rPr>
          <w:t>卷第</w:t>
        </w:r>
        <w:r w:rsidR="003F79C2" w:rsidRPr="00384A8E">
          <w:rPr>
            <w:rStyle w:val="aa"/>
            <w:color w:val="auto"/>
          </w:rPr>
          <w:t>3</w:t>
        </w:r>
        <w:r w:rsidR="003F79C2" w:rsidRPr="00384A8E">
          <w:rPr>
            <w:rStyle w:val="aa"/>
            <w:color w:val="auto"/>
          </w:rPr>
          <w:t>期（</w:t>
        </w:r>
        <w:r w:rsidR="003F79C2" w:rsidRPr="00384A8E">
          <w:rPr>
            <w:rStyle w:val="aa"/>
            <w:color w:val="auto"/>
          </w:rPr>
          <w:t>2017</w:t>
        </w:r>
        <w:r w:rsidR="003F79C2" w:rsidRPr="00384A8E">
          <w:rPr>
            <w:rStyle w:val="aa"/>
            <w:color w:val="auto"/>
          </w:rPr>
          <w:t>年）</w:t>
        </w:r>
      </w:hyperlink>
      <w:r w:rsidR="003F79C2" w:rsidRPr="00384A8E">
        <w:t>，</w:t>
      </w:r>
      <w:hyperlink r:id="rId164">
        <w:r w:rsidR="003F79C2" w:rsidRPr="00384A8E">
          <w:rPr>
            <w:rStyle w:val="aa"/>
            <w:color w:val="auto"/>
          </w:rPr>
          <w:t>第</w:t>
        </w:r>
        <w:r w:rsidR="003F79C2" w:rsidRPr="00384A8E">
          <w:rPr>
            <w:rStyle w:val="aa"/>
            <w:color w:val="auto"/>
          </w:rPr>
          <w:t>1540–1547</w:t>
        </w:r>
        <w:r w:rsidR="003F79C2" w:rsidRPr="00384A8E">
          <w:rPr>
            <w:rStyle w:val="aa"/>
            <w:color w:val="auto"/>
          </w:rPr>
          <w:t>页</w:t>
        </w:r>
      </w:hyperlink>
      <w:r w:rsidR="003F79C2" w:rsidRPr="00384A8E">
        <w:t>。</w:t>
      </w:r>
    </w:p>
    <w:p w:rsidR="003F79C2" w:rsidRPr="00384A8E" w:rsidRDefault="003F79C2" w:rsidP="00FA4C95"/>
    <w:sectPr w:rsidR="003F79C2" w:rsidRPr="00384A8E" w:rsidSect="003F79C2">
      <w:headerReference w:type="even" r:id="rId165"/>
      <w:headerReference w:type="default" r:id="rId166"/>
      <w:footerReference w:type="even" r:id="rId167"/>
      <w:footerReference w:type="default" r:id="rId168"/>
      <w:headerReference w:type="first" r:id="rId169"/>
      <w:footerReference w:type="first" r:id="rId170"/>
      <w:pgSz w:w="11906" w:h="16838"/>
      <w:pgMar w:top="2098" w:right="907" w:bottom="1474" w:left="90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3CC9" w:rsidRDefault="00F73CC9" w:rsidP="00FA4C95">
      <w:pPr>
        <w:spacing w:after="120"/>
      </w:pPr>
      <w:r>
        <w:separator/>
      </w:r>
    </w:p>
  </w:endnote>
  <w:endnote w:type="continuationSeparator" w:id="0">
    <w:p w:rsidR="00F73CC9" w:rsidRDefault="00F73CC9" w:rsidP="00FA4C95">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haris SIL">
    <w:altName w:val="微软雅黑"/>
    <w:panose1 w:val="00000000000000000000"/>
    <w:charset w:val="86"/>
    <w:family w:val="swiss"/>
    <w:notTrueType/>
    <w:pitch w:val="default"/>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TIX">
    <w:altName w:val="微软雅黑"/>
    <w:panose1 w:val="00000000000000000000"/>
    <w:charset w:val="86"/>
    <w:family w:val="swiss"/>
    <w:notTrueType/>
    <w:pitch w:val="default"/>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ARMMF D+ Te X_ C M_ Maths_ Exte">
    <w:altName w:val="微软雅黑"/>
    <w:panose1 w:val="00000000000000000000"/>
    <w:charset w:val="86"/>
    <w:family w:val="swiss"/>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5"/>
      <w:spacing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3CC9" w:rsidRDefault="00F73CC9" w:rsidP="00FA4C95">
      <w:pPr>
        <w:spacing w:after="120"/>
      </w:pPr>
      <w:r>
        <w:separator/>
      </w:r>
    </w:p>
  </w:footnote>
  <w:footnote w:type="continuationSeparator" w:id="0">
    <w:p w:rsidR="00F73CC9" w:rsidRDefault="00F73CC9" w:rsidP="00FA4C95">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3"/>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3"/>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0F3" w:rsidRDefault="008330F3" w:rsidP="00FA4C95">
    <w:pPr>
      <w:pStyle w:val="a3"/>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01E71"/>
    <w:multiLevelType w:val="hybridMultilevel"/>
    <w:tmpl w:val="12CEAE34"/>
    <w:lvl w:ilvl="0" w:tplc="96B632F8">
      <w:start w:val="1"/>
      <w:numFmt w:val="decimal"/>
      <w:lvlText w:val="%1)"/>
      <w:lvlJc w:val="left"/>
      <w:pPr>
        <w:ind w:left="281" w:hanging="222"/>
      </w:pPr>
      <w:rPr>
        <w:rFonts w:ascii="Times New Roman" w:eastAsia="Times New Roman" w:hAnsi="Times New Roman" w:cs="Times New Roman" w:hint="default"/>
        <w:b w:val="0"/>
        <w:bCs w:val="0"/>
        <w:i w:val="0"/>
        <w:iCs w:val="0"/>
        <w:spacing w:val="0"/>
        <w:w w:val="112"/>
        <w:sz w:val="16"/>
        <w:szCs w:val="16"/>
        <w:lang w:val="en-US" w:eastAsia="en-US" w:bidi="ar-SA"/>
      </w:rPr>
    </w:lvl>
    <w:lvl w:ilvl="1" w:tplc="AC12A586">
      <w:numFmt w:val="bullet"/>
      <w:lvlText w:val="•"/>
      <w:lvlJc w:val="left"/>
      <w:pPr>
        <w:ind w:left="758" w:hanging="222"/>
      </w:pPr>
      <w:rPr>
        <w:rFonts w:hint="default"/>
        <w:lang w:val="en-US" w:eastAsia="en-US" w:bidi="ar-SA"/>
      </w:rPr>
    </w:lvl>
    <w:lvl w:ilvl="2" w:tplc="878A33B4">
      <w:numFmt w:val="bullet"/>
      <w:lvlText w:val="•"/>
      <w:lvlJc w:val="left"/>
      <w:pPr>
        <w:ind w:left="1237" w:hanging="222"/>
      </w:pPr>
      <w:rPr>
        <w:rFonts w:hint="default"/>
        <w:lang w:val="en-US" w:eastAsia="en-US" w:bidi="ar-SA"/>
      </w:rPr>
    </w:lvl>
    <w:lvl w:ilvl="3" w:tplc="E4367510">
      <w:numFmt w:val="bullet"/>
      <w:lvlText w:val="•"/>
      <w:lvlJc w:val="left"/>
      <w:pPr>
        <w:ind w:left="1715" w:hanging="222"/>
      </w:pPr>
      <w:rPr>
        <w:rFonts w:hint="default"/>
        <w:lang w:val="en-US" w:eastAsia="en-US" w:bidi="ar-SA"/>
      </w:rPr>
    </w:lvl>
    <w:lvl w:ilvl="4" w:tplc="4076600C">
      <w:numFmt w:val="bullet"/>
      <w:lvlText w:val="•"/>
      <w:lvlJc w:val="left"/>
      <w:pPr>
        <w:ind w:left="2194" w:hanging="222"/>
      </w:pPr>
      <w:rPr>
        <w:rFonts w:hint="default"/>
        <w:lang w:val="en-US" w:eastAsia="en-US" w:bidi="ar-SA"/>
      </w:rPr>
    </w:lvl>
    <w:lvl w:ilvl="5" w:tplc="2F92528A">
      <w:numFmt w:val="bullet"/>
      <w:lvlText w:val="•"/>
      <w:lvlJc w:val="left"/>
      <w:pPr>
        <w:ind w:left="2672" w:hanging="222"/>
      </w:pPr>
      <w:rPr>
        <w:rFonts w:hint="default"/>
        <w:lang w:val="en-US" w:eastAsia="en-US" w:bidi="ar-SA"/>
      </w:rPr>
    </w:lvl>
    <w:lvl w:ilvl="6" w:tplc="F1C23CEA">
      <w:numFmt w:val="bullet"/>
      <w:lvlText w:val="•"/>
      <w:lvlJc w:val="left"/>
      <w:pPr>
        <w:ind w:left="3151" w:hanging="222"/>
      </w:pPr>
      <w:rPr>
        <w:rFonts w:hint="default"/>
        <w:lang w:val="en-US" w:eastAsia="en-US" w:bidi="ar-SA"/>
      </w:rPr>
    </w:lvl>
    <w:lvl w:ilvl="7" w:tplc="60A409E6">
      <w:numFmt w:val="bullet"/>
      <w:lvlText w:val="•"/>
      <w:lvlJc w:val="left"/>
      <w:pPr>
        <w:ind w:left="3630" w:hanging="222"/>
      </w:pPr>
      <w:rPr>
        <w:rFonts w:hint="default"/>
        <w:lang w:val="en-US" w:eastAsia="en-US" w:bidi="ar-SA"/>
      </w:rPr>
    </w:lvl>
    <w:lvl w:ilvl="8" w:tplc="261EBA60">
      <w:numFmt w:val="bullet"/>
      <w:lvlText w:val="•"/>
      <w:lvlJc w:val="left"/>
      <w:pPr>
        <w:ind w:left="4108" w:hanging="222"/>
      </w:pPr>
      <w:rPr>
        <w:rFonts w:hint="default"/>
        <w:lang w:val="en-US" w:eastAsia="en-US" w:bidi="ar-SA"/>
      </w:rPr>
    </w:lvl>
  </w:abstractNum>
  <w:abstractNum w:abstractNumId="1" w15:restartNumberingAfterBreak="0">
    <w:nsid w:val="17F95F8D"/>
    <w:multiLevelType w:val="multilevel"/>
    <w:tmpl w:val="2D06BD58"/>
    <w:lvl w:ilvl="0">
      <w:start w:val="1"/>
      <w:numFmt w:val="decimal"/>
      <w:lvlText w:val="%1."/>
      <w:lvlJc w:val="left"/>
      <w:pPr>
        <w:ind w:left="288" w:hanging="245"/>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10" w:hanging="367"/>
      </w:pPr>
      <w:rPr>
        <w:rFonts w:ascii="Times New Roman" w:eastAsia="Times New Roman" w:hAnsi="Times New Roman" w:cs="Times New Roman" w:hint="default"/>
        <w:b w:val="0"/>
        <w:bCs w:val="0"/>
        <w:i/>
        <w:iCs/>
        <w:spacing w:val="0"/>
        <w:w w:val="110"/>
        <w:sz w:val="16"/>
        <w:szCs w:val="16"/>
        <w:lang w:val="en-US" w:eastAsia="en-US" w:bidi="ar-SA"/>
      </w:rPr>
    </w:lvl>
    <w:lvl w:ilvl="2">
      <w:start w:val="1"/>
      <w:numFmt w:val="decimal"/>
      <w:lvlText w:val="%1.%2.%3."/>
      <w:lvlJc w:val="left"/>
      <w:pPr>
        <w:ind w:left="543" w:hanging="501"/>
      </w:pPr>
      <w:rPr>
        <w:rFonts w:ascii="Times New Roman" w:eastAsia="Times New Roman" w:hAnsi="Times New Roman" w:cs="Times New Roman" w:hint="default"/>
        <w:b w:val="0"/>
        <w:bCs w:val="0"/>
        <w:i/>
        <w:iCs/>
        <w:spacing w:val="0"/>
        <w:w w:val="110"/>
        <w:sz w:val="16"/>
        <w:szCs w:val="16"/>
        <w:lang w:val="en-US" w:eastAsia="en-US" w:bidi="ar-SA"/>
      </w:rPr>
    </w:lvl>
    <w:lvl w:ilvl="3">
      <w:start w:val="1"/>
      <w:numFmt w:val="decimal"/>
      <w:lvlText w:val="(%4)"/>
      <w:lvlJc w:val="left"/>
      <w:pPr>
        <w:ind w:left="521" w:hanging="282"/>
      </w:pPr>
      <w:rPr>
        <w:rFonts w:ascii="Times New Roman" w:eastAsia="Times New Roman" w:hAnsi="Times New Roman" w:cs="Times New Roman" w:hint="default"/>
        <w:b w:val="0"/>
        <w:bCs w:val="0"/>
        <w:i w:val="0"/>
        <w:iCs w:val="0"/>
        <w:spacing w:val="0"/>
        <w:w w:val="112"/>
        <w:sz w:val="16"/>
        <w:szCs w:val="16"/>
        <w:lang w:val="en-US" w:eastAsia="en-US" w:bidi="ar-SA"/>
      </w:rPr>
    </w:lvl>
    <w:lvl w:ilvl="4">
      <w:numFmt w:val="bullet"/>
      <w:lvlText w:val="•"/>
      <w:lvlJc w:val="left"/>
      <w:pPr>
        <w:ind w:left="540" w:hanging="282"/>
      </w:pPr>
      <w:rPr>
        <w:rFonts w:hint="default"/>
        <w:lang w:val="en-US" w:eastAsia="en-US" w:bidi="ar-SA"/>
      </w:rPr>
    </w:lvl>
    <w:lvl w:ilvl="5">
      <w:numFmt w:val="bullet"/>
      <w:lvlText w:val="•"/>
      <w:lvlJc w:val="left"/>
      <w:pPr>
        <w:ind w:left="397" w:hanging="282"/>
      </w:pPr>
      <w:rPr>
        <w:rFonts w:hint="default"/>
        <w:lang w:val="en-US" w:eastAsia="en-US" w:bidi="ar-SA"/>
      </w:rPr>
    </w:lvl>
    <w:lvl w:ilvl="6">
      <w:numFmt w:val="bullet"/>
      <w:lvlText w:val="•"/>
      <w:lvlJc w:val="left"/>
      <w:pPr>
        <w:ind w:left="255" w:hanging="282"/>
      </w:pPr>
      <w:rPr>
        <w:rFonts w:hint="default"/>
        <w:lang w:val="en-US" w:eastAsia="en-US" w:bidi="ar-SA"/>
      </w:rPr>
    </w:lvl>
    <w:lvl w:ilvl="7">
      <w:numFmt w:val="bullet"/>
      <w:lvlText w:val="•"/>
      <w:lvlJc w:val="left"/>
      <w:pPr>
        <w:ind w:left="112" w:hanging="282"/>
      </w:pPr>
      <w:rPr>
        <w:rFonts w:hint="default"/>
        <w:lang w:val="en-US" w:eastAsia="en-US" w:bidi="ar-SA"/>
      </w:rPr>
    </w:lvl>
    <w:lvl w:ilvl="8">
      <w:numFmt w:val="bullet"/>
      <w:lvlText w:val="•"/>
      <w:lvlJc w:val="left"/>
      <w:pPr>
        <w:ind w:left="-30" w:hanging="282"/>
      </w:pPr>
      <w:rPr>
        <w:rFonts w:hint="default"/>
        <w:lang w:val="en-US" w:eastAsia="en-US" w:bidi="ar-SA"/>
      </w:rPr>
    </w:lvl>
  </w:abstractNum>
  <w:abstractNum w:abstractNumId="2" w15:restartNumberingAfterBreak="0">
    <w:nsid w:val="30A85886"/>
    <w:multiLevelType w:val="hybridMultilevel"/>
    <w:tmpl w:val="D048F5D0"/>
    <w:lvl w:ilvl="0" w:tplc="6F30FFB4">
      <w:start w:val="1"/>
      <w:numFmt w:val="decimal"/>
      <w:lvlText w:val="[%1]"/>
      <w:lvlJc w:val="left"/>
      <w:pPr>
        <w:ind w:left="900" w:hanging="420"/>
      </w:pPr>
      <w:rPr>
        <w:rFonts w:ascii="Times New Roman" w:eastAsia="Times New Roman" w:hAnsi="Times New Roman" w:cs="Times New Roman" w:hint="default"/>
        <w:b w:val="0"/>
        <w:bCs w:val="0"/>
        <w:i w:val="0"/>
        <w:iCs w:val="0"/>
        <w:spacing w:val="0"/>
        <w:w w:val="128"/>
        <w:sz w:val="12"/>
        <w:szCs w:val="12"/>
        <w:lang w:val="en-US" w:eastAsia="en-US" w:bidi="ar-S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6A50CF9"/>
    <w:multiLevelType w:val="multilevel"/>
    <w:tmpl w:val="A3EE7B18"/>
    <w:lvl w:ilvl="0">
      <w:start w:val="3"/>
      <w:numFmt w:val="decimal"/>
      <w:lvlText w:val="%1"/>
      <w:lvlJc w:val="left"/>
      <w:pPr>
        <w:ind w:left="360" w:hanging="360"/>
      </w:pPr>
      <w:rPr>
        <w:rFonts w:ascii="Times New Roman" w:hAnsi="Times New Roman" w:hint="default"/>
      </w:rPr>
    </w:lvl>
    <w:lvl w:ilvl="1">
      <w:start w:val="3"/>
      <w:numFmt w:val="decimal"/>
      <w:lvlText w:val="%1.%2"/>
      <w:lvlJc w:val="left"/>
      <w:pPr>
        <w:ind w:left="381" w:hanging="360"/>
      </w:pPr>
      <w:rPr>
        <w:rFonts w:ascii="Times New Roman" w:hAnsi="Times New Roman" w:hint="default"/>
      </w:rPr>
    </w:lvl>
    <w:lvl w:ilvl="2">
      <w:start w:val="1"/>
      <w:numFmt w:val="decimal"/>
      <w:lvlText w:val="%1.%2.%3"/>
      <w:lvlJc w:val="left"/>
      <w:pPr>
        <w:ind w:left="402" w:hanging="360"/>
      </w:pPr>
      <w:rPr>
        <w:rFonts w:ascii="Times New Roman" w:hAnsi="Times New Roman" w:hint="default"/>
      </w:rPr>
    </w:lvl>
    <w:lvl w:ilvl="3">
      <w:start w:val="1"/>
      <w:numFmt w:val="decimal"/>
      <w:lvlText w:val="%1.%2.%3.%4"/>
      <w:lvlJc w:val="left"/>
      <w:pPr>
        <w:ind w:left="783" w:hanging="720"/>
      </w:pPr>
      <w:rPr>
        <w:rFonts w:ascii="Times New Roman" w:hAnsi="Times New Roman" w:hint="default"/>
      </w:rPr>
    </w:lvl>
    <w:lvl w:ilvl="4">
      <w:start w:val="1"/>
      <w:numFmt w:val="decimal"/>
      <w:lvlText w:val="%1.%2.%3.%4.%5"/>
      <w:lvlJc w:val="left"/>
      <w:pPr>
        <w:ind w:left="804" w:hanging="720"/>
      </w:pPr>
      <w:rPr>
        <w:rFonts w:ascii="Times New Roman" w:hAnsi="Times New Roman" w:hint="default"/>
      </w:rPr>
    </w:lvl>
    <w:lvl w:ilvl="5">
      <w:start w:val="1"/>
      <w:numFmt w:val="decimal"/>
      <w:lvlText w:val="%1.%2.%3.%4.%5.%6"/>
      <w:lvlJc w:val="left"/>
      <w:pPr>
        <w:ind w:left="1185" w:hanging="1080"/>
      </w:pPr>
      <w:rPr>
        <w:rFonts w:ascii="Times New Roman" w:hAnsi="Times New Roman" w:hint="default"/>
      </w:rPr>
    </w:lvl>
    <w:lvl w:ilvl="6">
      <w:start w:val="1"/>
      <w:numFmt w:val="decimal"/>
      <w:lvlText w:val="%1.%2.%3.%4.%5.%6.%7"/>
      <w:lvlJc w:val="left"/>
      <w:pPr>
        <w:ind w:left="1206" w:hanging="1080"/>
      </w:pPr>
      <w:rPr>
        <w:rFonts w:ascii="Times New Roman" w:hAnsi="Times New Roman" w:hint="default"/>
      </w:rPr>
    </w:lvl>
    <w:lvl w:ilvl="7">
      <w:start w:val="1"/>
      <w:numFmt w:val="decimal"/>
      <w:lvlText w:val="%1.%2.%3.%4.%5.%6.%7.%8"/>
      <w:lvlJc w:val="left"/>
      <w:pPr>
        <w:ind w:left="1227" w:hanging="1080"/>
      </w:pPr>
      <w:rPr>
        <w:rFonts w:ascii="Times New Roman" w:hAnsi="Times New Roman" w:hint="default"/>
      </w:rPr>
    </w:lvl>
    <w:lvl w:ilvl="8">
      <w:start w:val="1"/>
      <w:numFmt w:val="decimal"/>
      <w:lvlText w:val="%1.%2.%3.%4.%5.%6.%7.%8.%9"/>
      <w:lvlJc w:val="left"/>
      <w:pPr>
        <w:ind w:left="1608" w:hanging="1440"/>
      </w:pPr>
      <w:rPr>
        <w:rFonts w:ascii="Times New Roman" w:hAnsi="Times New Roman" w:hint="default"/>
      </w:rPr>
    </w:lvl>
  </w:abstractNum>
  <w:abstractNum w:abstractNumId="4" w15:restartNumberingAfterBreak="0">
    <w:nsid w:val="3B4E714C"/>
    <w:multiLevelType w:val="multilevel"/>
    <w:tmpl w:val="64F8DC86"/>
    <w:lvl w:ilvl="0">
      <w:start w:val="1"/>
      <w:numFmt w:val="decimal"/>
      <w:lvlText w:val="%1."/>
      <w:lvlJc w:val="left"/>
      <w:pPr>
        <w:ind w:left="288" w:hanging="245"/>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10" w:hanging="367"/>
      </w:pPr>
      <w:rPr>
        <w:rFonts w:ascii="Times New Roman" w:eastAsia="Times New Roman" w:hAnsi="Times New Roman" w:cs="Times New Roman" w:hint="default"/>
        <w:b w:val="0"/>
        <w:bCs w:val="0"/>
        <w:i/>
        <w:iCs/>
        <w:spacing w:val="0"/>
        <w:w w:val="110"/>
        <w:sz w:val="16"/>
        <w:szCs w:val="16"/>
        <w:lang w:val="en-US" w:eastAsia="en-US" w:bidi="ar-SA"/>
      </w:rPr>
    </w:lvl>
    <w:lvl w:ilvl="2">
      <w:start w:val="1"/>
      <w:numFmt w:val="decimal"/>
      <w:lvlText w:val="%1.%2.%3."/>
      <w:lvlJc w:val="left"/>
      <w:pPr>
        <w:ind w:left="543" w:hanging="501"/>
      </w:pPr>
      <w:rPr>
        <w:rFonts w:ascii="Times New Roman" w:eastAsia="Times New Roman" w:hAnsi="Times New Roman" w:cs="Times New Roman" w:hint="default"/>
        <w:b w:val="0"/>
        <w:bCs w:val="0"/>
        <w:i/>
        <w:iCs/>
        <w:spacing w:val="0"/>
        <w:w w:val="110"/>
        <w:sz w:val="16"/>
        <w:szCs w:val="16"/>
        <w:lang w:val="en-US" w:eastAsia="en-US" w:bidi="ar-SA"/>
      </w:rPr>
    </w:lvl>
    <w:lvl w:ilvl="3">
      <w:start w:val="1"/>
      <w:numFmt w:val="decimal"/>
      <w:lvlText w:val="(%4)"/>
      <w:lvlJc w:val="left"/>
      <w:pPr>
        <w:ind w:left="521" w:hanging="282"/>
      </w:pPr>
      <w:rPr>
        <w:rFonts w:ascii="Times New Roman" w:eastAsia="Times New Roman" w:hAnsi="Times New Roman" w:cs="Times New Roman" w:hint="default"/>
        <w:b w:val="0"/>
        <w:bCs w:val="0"/>
        <w:i w:val="0"/>
        <w:iCs w:val="0"/>
        <w:spacing w:val="0"/>
        <w:w w:val="112"/>
        <w:sz w:val="16"/>
        <w:szCs w:val="16"/>
        <w:lang w:val="en-US" w:eastAsia="en-US" w:bidi="ar-SA"/>
      </w:rPr>
    </w:lvl>
    <w:lvl w:ilvl="4">
      <w:numFmt w:val="bullet"/>
      <w:lvlText w:val="•"/>
      <w:lvlJc w:val="left"/>
      <w:pPr>
        <w:ind w:left="540" w:hanging="282"/>
      </w:pPr>
      <w:rPr>
        <w:rFonts w:hint="default"/>
        <w:lang w:val="en-US" w:eastAsia="en-US" w:bidi="ar-SA"/>
      </w:rPr>
    </w:lvl>
    <w:lvl w:ilvl="5">
      <w:numFmt w:val="bullet"/>
      <w:lvlText w:val="•"/>
      <w:lvlJc w:val="left"/>
      <w:pPr>
        <w:ind w:left="397" w:hanging="282"/>
      </w:pPr>
      <w:rPr>
        <w:rFonts w:hint="default"/>
        <w:lang w:val="en-US" w:eastAsia="en-US" w:bidi="ar-SA"/>
      </w:rPr>
    </w:lvl>
    <w:lvl w:ilvl="6">
      <w:numFmt w:val="bullet"/>
      <w:lvlText w:val="•"/>
      <w:lvlJc w:val="left"/>
      <w:pPr>
        <w:ind w:left="255" w:hanging="282"/>
      </w:pPr>
      <w:rPr>
        <w:rFonts w:hint="default"/>
        <w:lang w:val="en-US" w:eastAsia="en-US" w:bidi="ar-SA"/>
      </w:rPr>
    </w:lvl>
    <w:lvl w:ilvl="7">
      <w:numFmt w:val="bullet"/>
      <w:lvlText w:val="•"/>
      <w:lvlJc w:val="left"/>
      <w:pPr>
        <w:ind w:left="112" w:hanging="282"/>
      </w:pPr>
      <w:rPr>
        <w:rFonts w:hint="default"/>
        <w:lang w:val="en-US" w:eastAsia="en-US" w:bidi="ar-SA"/>
      </w:rPr>
    </w:lvl>
    <w:lvl w:ilvl="8">
      <w:numFmt w:val="bullet"/>
      <w:lvlText w:val="•"/>
      <w:lvlJc w:val="left"/>
      <w:pPr>
        <w:ind w:left="-30" w:hanging="282"/>
      </w:pPr>
      <w:rPr>
        <w:rFonts w:hint="default"/>
        <w:lang w:val="en-US" w:eastAsia="en-US" w:bidi="ar-SA"/>
      </w:rPr>
    </w:lvl>
  </w:abstractNum>
  <w:abstractNum w:abstractNumId="5" w15:restartNumberingAfterBreak="0">
    <w:nsid w:val="46D21800"/>
    <w:multiLevelType w:val="hybridMultilevel"/>
    <w:tmpl w:val="BEB4AD34"/>
    <w:lvl w:ilvl="0" w:tplc="6F30FFB4">
      <w:start w:val="1"/>
      <w:numFmt w:val="decimal"/>
      <w:lvlText w:val="[%1]"/>
      <w:lvlJc w:val="left"/>
      <w:pPr>
        <w:ind w:left="420" w:hanging="420"/>
      </w:pPr>
      <w:rPr>
        <w:rFonts w:ascii="Times New Roman" w:eastAsia="Times New Roman" w:hAnsi="Times New Roman" w:cs="Times New Roman" w:hint="default"/>
        <w:b w:val="0"/>
        <w:bCs w:val="0"/>
        <w:i w:val="0"/>
        <w:iCs w:val="0"/>
        <w:spacing w:val="0"/>
        <w:w w:val="128"/>
        <w:sz w:val="12"/>
        <w:szCs w:val="12"/>
        <w:lang w:val="en-US" w:eastAsia="en-US" w:bidi="ar-S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875844"/>
    <w:multiLevelType w:val="hybridMultilevel"/>
    <w:tmpl w:val="F51E0EC4"/>
    <w:lvl w:ilvl="0" w:tplc="04090011">
      <w:start w:val="1"/>
      <w:numFmt w:val="decimal"/>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7" w15:restartNumberingAfterBreak="0">
    <w:nsid w:val="675A37C7"/>
    <w:multiLevelType w:val="hybridMultilevel"/>
    <w:tmpl w:val="01F2DD2A"/>
    <w:lvl w:ilvl="0" w:tplc="4956CB3A">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8" w15:restartNumberingAfterBreak="0">
    <w:nsid w:val="7F7157B4"/>
    <w:multiLevelType w:val="hybridMultilevel"/>
    <w:tmpl w:val="D9F8796A"/>
    <w:lvl w:ilvl="0" w:tplc="6F30FFB4">
      <w:start w:val="1"/>
      <w:numFmt w:val="decimal"/>
      <w:lvlText w:val="[%1]"/>
      <w:lvlJc w:val="left"/>
      <w:pPr>
        <w:ind w:left="371" w:hanging="26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3C027EFA">
      <w:numFmt w:val="bullet"/>
      <w:lvlText w:val="•"/>
      <w:lvlJc w:val="left"/>
      <w:pPr>
        <w:ind w:left="848" w:hanging="260"/>
      </w:pPr>
      <w:rPr>
        <w:rFonts w:hint="default"/>
        <w:lang w:val="en-US" w:eastAsia="en-US" w:bidi="ar-SA"/>
      </w:rPr>
    </w:lvl>
    <w:lvl w:ilvl="2" w:tplc="BEA8AA56">
      <w:numFmt w:val="bullet"/>
      <w:lvlText w:val="•"/>
      <w:lvlJc w:val="left"/>
      <w:pPr>
        <w:ind w:left="1317" w:hanging="260"/>
      </w:pPr>
      <w:rPr>
        <w:rFonts w:hint="default"/>
        <w:lang w:val="en-US" w:eastAsia="en-US" w:bidi="ar-SA"/>
      </w:rPr>
    </w:lvl>
    <w:lvl w:ilvl="3" w:tplc="3920D148">
      <w:numFmt w:val="bullet"/>
      <w:lvlText w:val="•"/>
      <w:lvlJc w:val="left"/>
      <w:pPr>
        <w:ind w:left="1785" w:hanging="260"/>
      </w:pPr>
      <w:rPr>
        <w:rFonts w:hint="default"/>
        <w:lang w:val="en-US" w:eastAsia="en-US" w:bidi="ar-SA"/>
      </w:rPr>
    </w:lvl>
    <w:lvl w:ilvl="4" w:tplc="76C83BA4">
      <w:numFmt w:val="bullet"/>
      <w:lvlText w:val="•"/>
      <w:lvlJc w:val="left"/>
      <w:pPr>
        <w:ind w:left="2254" w:hanging="260"/>
      </w:pPr>
      <w:rPr>
        <w:rFonts w:hint="default"/>
        <w:lang w:val="en-US" w:eastAsia="en-US" w:bidi="ar-SA"/>
      </w:rPr>
    </w:lvl>
    <w:lvl w:ilvl="5" w:tplc="4AE8297A">
      <w:numFmt w:val="bullet"/>
      <w:lvlText w:val="•"/>
      <w:lvlJc w:val="left"/>
      <w:pPr>
        <w:ind w:left="2723" w:hanging="260"/>
      </w:pPr>
      <w:rPr>
        <w:rFonts w:hint="default"/>
        <w:lang w:val="en-US" w:eastAsia="en-US" w:bidi="ar-SA"/>
      </w:rPr>
    </w:lvl>
    <w:lvl w:ilvl="6" w:tplc="77186D6E">
      <w:numFmt w:val="bullet"/>
      <w:lvlText w:val="•"/>
      <w:lvlJc w:val="left"/>
      <w:pPr>
        <w:ind w:left="3191" w:hanging="260"/>
      </w:pPr>
      <w:rPr>
        <w:rFonts w:hint="default"/>
        <w:lang w:val="en-US" w:eastAsia="en-US" w:bidi="ar-SA"/>
      </w:rPr>
    </w:lvl>
    <w:lvl w:ilvl="7" w:tplc="A66ABC56">
      <w:numFmt w:val="bullet"/>
      <w:lvlText w:val="•"/>
      <w:lvlJc w:val="left"/>
      <w:pPr>
        <w:ind w:left="3660" w:hanging="260"/>
      </w:pPr>
      <w:rPr>
        <w:rFonts w:hint="default"/>
        <w:lang w:val="en-US" w:eastAsia="en-US" w:bidi="ar-SA"/>
      </w:rPr>
    </w:lvl>
    <w:lvl w:ilvl="8" w:tplc="C4F0A3B4">
      <w:numFmt w:val="bullet"/>
      <w:lvlText w:val="•"/>
      <w:lvlJc w:val="left"/>
      <w:pPr>
        <w:ind w:left="4128" w:hanging="260"/>
      </w:pPr>
      <w:rPr>
        <w:rFonts w:hint="default"/>
        <w:lang w:val="en-US" w:eastAsia="en-US" w:bidi="ar-SA"/>
      </w:rPr>
    </w:lvl>
  </w:abstractNum>
  <w:num w:numId="1">
    <w:abstractNumId w:val="4"/>
  </w:num>
  <w:num w:numId="2">
    <w:abstractNumId w:val="0"/>
  </w:num>
  <w:num w:numId="3">
    <w:abstractNumId w:val="1"/>
  </w:num>
  <w:num w:numId="4">
    <w:abstractNumId w:val="3"/>
  </w:num>
  <w:num w:numId="5">
    <w:abstractNumId w:val="7"/>
  </w:num>
  <w:num w:numId="6">
    <w:abstractNumId w:val="8"/>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20"/>
  <w:drawingGridHorizontalSpacing w:val="8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2E"/>
    <w:rsid w:val="00117860"/>
    <w:rsid w:val="002C017A"/>
    <w:rsid w:val="002D6E04"/>
    <w:rsid w:val="00384A8E"/>
    <w:rsid w:val="003C675B"/>
    <w:rsid w:val="003F79C2"/>
    <w:rsid w:val="004B751D"/>
    <w:rsid w:val="004C0B2B"/>
    <w:rsid w:val="006D55F4"/>
    <w:rsid w:val="008330F3"/>
    <w:rsid w:val="008353D3"/>
    <w:rsid w:val="00887B6D"/>
    <w:rsid w:val="009B6953"/>
    <w:rsid w:val="00A11189"/>
    <w:rsid w:val="00A51526"/>
    <w:rsid w:val="00B41EAF"/>
    <w:rsid w:val="00B62E2E"/>
    <w:rsid w:val="00BC711B"/>
    <w:rsid w:val="00BC7D7E"/>
    <w:rsid w:val="00C34E36"/>
    <w:rsid w:val="00C6008B"/>
    <w:rsid w:val="00D40F31"/>
    <w:rsid w:val="00D836FE"/>
    <w:rsid w:val="00DC495E"/>
    <w:rsid w:val="00E1241E"/>
    <w:rsid w:val="00E6531A"/>
    <w:rsid w:val="00F34B5A"/>
    <w:rsid w:val="00F3509C"/>
    <w:rsid w:val="00F73CC9"/>
    <w:rsid w:val="00FA4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E8388"/>
  <w14:defaultImageDpi w14:val="32767"/>
  <w15:chartTrackingRefBased/>
  <w15:docId w15:val="{138779C6-6D7B-4A34-A8E5-18A00998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A4C95"/>
    <w:pPr>
      <w:widowControl w:val="0"/>
      <w:spacing w:afterLines="50" w:after="156" w:line="259" w:lineRule="auto"/>
      <w:ind w:firstLineChars="200" w:firstLine="480"/>
      <w:jc w:val="both"/>
    </w:pPr>
    <w:rPr>
      <w:rFonts w:ascii="Times New Roman" w:eastAsia="宋体" w:hAnsi="Times New Roman"/>
      <w:sz w:val="24"/>
    </w:rPr>
  </w:style>
  <w:style w:type="paragraph" w:styleId="1">
    <w:name w:val="heading 1"/>
    <w:basedOn w:val="a"/>
    <w:next w:val="a"/>
    <w:link w:val="10"/>
    <w:uiPriority w:val="9"/>
    <w:qFormat/>
    <w:rsid w:val="004B751D"/>
    <w:pPr>
      <w:keepNext/>
      <w:keepLines/>
      <w:spacing w:before="200"/>
      <w:ind w:firstLineChars="0" w:firstLine="0"/>
      <w:jc w:val="left"/>
      <w:outlineLvl w:val="0"/>
    </w:pPr>
    <w:rPr>
      <w:rFonts w:ascii="Calibri" w:eastAsia="Calibri" w:hAnsi="Calibri" w:cstheme="majorBidi"/>
      <w:b/>
      <w:sz w:val="28"/>
      <w:szCs w:val="48"/>
    </w:rPr>
  </w:style>
  <w:style w:type="paragraph" w:styleId="2">
    <w:name w:val="heading 2"/>
    <w:basedOn w:val="a"/>
    <w:next w:val="a"/>
    <w:link w:val="20"/>
    <w:uiPriority w:val="9"/>
    <w:unhideWhenUsed/>
    <w:qFormat/>
    <w:rsid w:val="00F3509C"/>
    <w:pPr>
      <w:keepNext/>
      <w:keepLines/>
      <w:spacing w:before="200" w:after="200"/>
      <w:ind w:firstLine="0"/>
      <w:jc w:val="left"/>
      <w:outlineLvl w:val="1"/>
    </w:pPr>
    <w:rPr>
      <w:rFonts w:cstheme="majorBidi"/>
      <w:b/>
      <w:i/>
      <w:sz w:val="28"/>
      <w:szCs w:val="40"/>
    </w:rPr>
  </w:style>
  <w:style w:type="paragraph" w:styleId="3">
    <w:name w:val="heading 3"/>
    <w:basedOn w:val="a"/>
    <w:next w:val="a"/>
    <w:link w:val="30"/>
    <w:uiPriority w:val="9"/>
    <w:unhideWhenUsed/>
    <w:qFormat/>
    <w:rsid w:val="00F3509C"/>
    <w:pPr>
      <w:keepNext/>
      <w:keepLines/>
      <w:spacing w:before="160" w:after="80"/>
      <w:ind w:firstLine="0"/>
      <w:outlineLvl w:val="2"/>
    </w:pPr>
    <w:rPr>
      <w:rFonts w:cstheme="majorBidi"/>
      <w:b/>
      <w:szCs w:val="32"/>
    </w:rPr>
  </w:style>
  <w:style w:type="paragraph" w:styleId="4">
    <w:name w:val="heading 4"/>
    <w:basedOn w:val="a"/>
    <w:next w:val="a"/>
    <w:link w:val="40"/>
    <w:uiPriority w:val="9"/>
    <w:unhideWhenUsed/>
    <w:qFormat/>
    <w:rsid w:val="00887B6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887B6D"/>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unhideWhenUsed/>
    <w:qFormat/>
    <w:rsid w:val="00887B6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unhideWhenUsed/>
    <w:qFormat/>
    <w:rsid w:val="00887B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887B6D"/>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887B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7B6D"/>
    <w:pPr>
      <w:tabs>
        <w:tab w:val="center" w:pos="4153"/>
        <w:tab w:val="right" w:pos="8306"/>
      </w:tabs>
      <w:snapToGrid w:val="0"/>
      <w:jc w:val="center"/>
    </w:pPr>
    <w:rPr>
      <w:sz w:val="18"/>
      <w:szCs w:val="18"/>
    </w:rPr>
  </w:style>
  <w:style w:type="character" w:customStyle="1" w:styleId="a4">
    <w:name w:val="页眉 字符"/>
    <w:basedOn w:val="a0"/>
    <w:link w:val="a3"/>
    <w:uiPriority w:val="99"/>
    <w:rsid w:val="00887B6D"/>
    <w:rPr>
      <w:rFonts w:ascii="Times New Roman" w:eastAsia="Times New Roman" w:hAnsi="Times New Roman"/>
      <w:sz w:val="18"/>
      <w:szCs w:val="18"/>
    </w:rPr>
  </w:style>
  <w:style w:type="paragraph" w:styleId="a5">
    <w:name w:val="footer"/>
    <w:basedOn w:val="a"/>
    <w:link w:val="a6"/>
    <w:uiPriority w:val="99"/>
    <w:unhideWhenUsed/>
    <w:rsid w:val="00887B6D"/>
    <w:pPr>
      <w:tabs>
        <w:tab w:val="center" w:pos="4153"/>
        <w:tab w:val="right" w:pos="8306"/>
      </w:tabs>
      <w:snapToGrid w:val="0"/>
      <w:jc w:val="left"/>
    </w:pPr>
    <w:rPr>
      <w:sz w:val="18"/>
      <w:szCs w:val="18"/>
    </w:rPr>
  </w:style>
  <w:style w:type="character" w:customStyle="1" w:styleId="a6">
    <w:name w:val="页脚 字符"/>
    <w:basedOn w:val="a0"/>
    <w:link w:val="a5"/>
    <w:uiPriority w:val="99"/>
    <w:rsid w:val="00887B6D"/>
    <w:rPr>
      <w:rFonts w:ascii="Times New Roman" w:eastAsia="Times New Roman" w:hAnsi="Times New Roman"/>
      <w:sz w:val="18"/>
      <w:szCs w:val="18"/>
    </w:rPr>
  </w:style>
  <w:style w:type="character" w:customStyle="1" w:styleId="10">
    <w:name w:val="标题 1 字符"/>
    <w:basedOn w:val="a0"/>
    <w:link w:val="1"/>
    <w:uiPriority w:val="9"/>
    <w:rsid w:val="004B751D"/>
    <w:rPr>
      <w:rFonts w:ascii="Calibri" w:eastAsia="Calibri" w:hAnsi="Calibri" w:cstheme="majorBidi"/>
      <w:b/>
      <w:sz w:val="28"/>
      <w:szCs w:val="48"/>
    </w:rPr>
  </w:style>
  <w:style w:type="paragraph" w:styleId="a7">
    <w:name w:val="Body Text"/>
    <w:basedOn w:val="a"/>
    <w:link w:val="a8"/>
    <w:uiPriority w:val="99"/>
    <w:unhideWhenUsed/>
    <w:rsid w:val="00887B6D"/>
    <w:pPr>
      <w:spacing w:after="120"/>
    </w:pPr>
  </w:style>
  <w:style w:type="character" w:customStyle="1" w:styleId="a8">
    <w:name w:val="正文文本 字符"/>
    <w:basedOn w:val="a0"/>
    <w:link w:val="a7"/>
    <w:uiPriority w:val="99"/>
    <w:rsid w:val="00887B6D"/>
    <w:rPr>
      <w:rFonts w:ascii="Times New Roman" w:eastAsia="Times New Roman" w:hAnsi="Times New Roman"/>
      <w:sz w:val="24"/>
    </w:rPr>
  </w:style>
  <w:style w:type="paragraph" w:styleId="a9">
    <w:name w:val="List Paragraph"/>
    <w:basedOn w:val="a"/>
    <w:uiPriority w:val="34"/>
    <w:qFormat/>
    <w:rsid w:val="00887B6D"/>
    <w:pPr>
      <w:ind w:left="720"/>
      <w:contextualSpacing/>
    </w:pPr>
  </w:style>
  <w:style w:type="character" w:styleId="aa">
    <w:name w:val="Hyperlink"/>
    <w:basedOn w:val="a0"/>
    <w:rsid w:val="00887B6D"/>
    <w:rPr>
      <w:color w:val="4472C4" w:themeColor="accent1"/>
    </w:rPr>
  </w:style>
  <w:style w:type="character" w:styleId="ab">
    <w:name w:val="Unresolved Mention"/>
    <w:basedOn w:val="a0"/>
    <w:uiPriority w:val="99"/>
    <w:semiHidden/>
    <w:unhideWhenUsed/>
    <w:rsid w:val="003C675B"/>
    <w:rPr>
      <w:color w:val="605E5C"/>
      <w:shd w:val="clear" w:color="auto" w:fill="E1DFDD"/>
    </w:rPr>
  </w:style>
  <w:style w:type="paragraph" w:customStyle="1" w:styleId="Default">
    <w:name w:val="Default"/>
    <w:rsid w:val="006D55F4"/>
    <w:pPr>
      <w:widowControl w:val="0"/>
      <w:autoSpaceDE w:val="0"/>
      <w:autoSpaceDN w:val="0"/>
      <w:adjustRightInd w:val="0"/>
    </w:pPr>
    <w:rPr>
      <w:rFonts w:ascii="Charis SIL" w:eastAsia="Charis SIL" w:cs="Charis SIL"/>
      <w:color w:val="000000"/>
      <w:kern w:val="0"/>
      <w:sz w:val="24"/>
      <w:szCs w:val="24"/>
    </w:rPr>
  </w:style>
  <w:style w:type="paragraph" w:styleId="ac">
    <w:name w:val="Title"/>
    <w:basedOn w:val="a"/>
    <w:next w:val="a"/>
    <w:link w:val="ad"/>
    <w:uiPriority w:val="10"/>
    <w:qFormat/>
    <w:rsid w:val="00887B6D"/>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0"/>
    <w:link w:val="ac"/>
    <w:uiPriority w:val="10"/>
    <w:rsid w:val="00887B6D"/>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rsid w:val="00F3509C"/>
    <w:rPr>
      <w:rFonts w:ascii="Times New Roman" w:eastAsia="宋体" w:hAnsi="Times New Roman" w:cstheme="majorBidi"/>
      <w:b/>
      <w:i/>
      <w:sz w:val="28"/>
      <w:szCs w:val="40"/>
    </w:rPr>
  </w:style>
  <w:style w:type="character" w:customStyle="1" w:styleId="30">
    <w:name w:val="标题 3 字符"/>
    <w:basedOn w:val="a0"/>
    <w:link w:val="3"/>
    <w:uiPriority w:val="9"/>
    <w:rsid w:val="00F3509C"/>
    <w:rPr>
      <w:rFonts w:ascii="Times New Roman" w:eastAsia="Times New Roman" w:hAnsi="Times New Roman" w:cstheme="majorBidi"/>
      <w:b/>
      <w:sz w:val="24"/>
      <w:szCs w:val="32"/>
    </w:rPr>
  </w:style>
  <w:style w:type="character" w:customStyle="1" w:styleId="40">
    <w:name w:val="标题 4 字符"/>
    <w:basedOn w:val="a0"/>
    <w:link w:val="4"/>
    <w:uiPriority w:val="9"/>
    <w:rsid w:val="00887B6D"/>
    <w:rPr>
      <w:rFonts w:ascii="Times New Roman" w:eastAsia="Times New Roman" w:hAnsi="Times New Roman" w:cstheme="majorBidi"/>
      <w:color w:val="2F5496" w:themeColor="accent1" w:themeShade="BF"/>
      <w:sz w:val="28"/>
      <w:szCs w:val="28"/>
    </w:rPr>
  </w:style>
  <w:style w:type="character" w:customStyle="1" w:styleId="50">
    <w:name w:val="标题 5 字符"/>
    <w:basedOn w:val="a0"/>
    <w:link w:val="5"/>
    <w:uiPriority w:val="9"/>
    <w:rsid w:val="00887B6D"/>
    <w:rPr>
      <w:rFonts w:ascii="Times New Roman" w:eastAsia="Times New Roman" w:hAnsi="Times New Roman" w:cstheme="majorBidi"/>
      <w:color w:val="2F5496" w:themeColor="accent1" w:themeShade="BF"/>
      <w:sz w:val="24"/>
      <w:szCs w:val="24"/>
    </w:rPr>
  </w:style>
  <w:style w:type="character" w:customStyle="1" w:styleId="60">
    <w:name w:val="标题 6 字符"/>
    <w:basedOn w:val="a0"/>
    <w:link w:val="6"/>
    <w:uiPriority w:val="9"/>
    <w:rsid w:val="00887B6D"/>
    <w:rPr>
      <w:rFonts w:ascii="Times New Roman" w:eastAsia="Times New Roman" w:hAnsi="Times New Roman" w:cstheme="majorBidi"/>
      <w:b/>
      <w:bCs/>
      <w:color w:val="2F5496" w:themeColor="accent1" w:themeShade="BF"/>
      <w:sz w:val="24"/>
    </w:rPr>
  </w:style>
  <w:style w:type="character" w:customStyle="1" w:styleId="70">
    <w:name w:val="标题 7 字符"/>
    <w:basedOn w:val="a0"/>
    <w:link w:val="7"/>
    <w:uiPriority w:val="9"/>
    <w:rsid w:val="00887B6D"/>
    <w:rPr>
      <w:rFonts w:ascii="Times New Roman" w:eastAsia="Times New Roman" w:hAnsi="Times New Roman" w:cstheme="majorBidi"/>
      <w:b/>
      <w:bCs/>
      <w:color w:val="595959" w:themeColor="text1" w:themeTint="A6"/>
      <w:sz w:val="24"/>
    </w:rPr>
  </w:style>
  <w:style w:type="character" w:customStyle="1" w:styleId="80">
    <w:name w:val="标题 8 字符"/>
    <w:basedOn w:val="a0"/>
    <w:link w:val="8"/>
    <w:uiPriority w:val="9"/>
    <w:rsid w:val="00887B6D"/>
    <w:rPr>
      <w:rFonts w:ascii="Times New Roman" w:eastAsia="Times New Roman" w:hAnsi="Times New Roman" w:cstheme="majorBidi"/>
      <w:color w:val="595959" w:themeColor="text1" w:themeTint="A6"/>
      <w:sz w:val="24"/>
    </w:rPr>
  </w:style>
  <w:style w:type="character" w:customStyle="1" w:styleId="90">
    <w:name w:val="标题 9 字符"/>
    <w:basedOn w:val="a0"/>
    <w:link w:val="9"/>
    <w:uiPriority w:val="9"/>
    <w:rsid w:val="00887B6D"/>
    <w:rPr>
      <w:rFonts w:ascii="Times New Roman" w:eastAsiaTheme="majorEastAsia" w:hAnsi="Times New Roman" w:cstheme="majorBidi"/>
      <w:color w:val="595959" w:themeColor="text1" w:themeTint="A6"/>
      <w:sz w:val="24"/>
    </w:rPr>
  </w:style>
  <w:style w:type="paragraph" w:styleId="ae">
    <w:name w:val="Subtitle"/>
    <w:basedOn w:val="a"/>
    <w:next w:val="a"/>
    <w:link w:val="af"/>
    <w:uiPriority w:val="11"/>
    <w:qFormat/>
    <w:rsid w:val="00887B6D"/>
    <w:pPr>
      <w:numPr>
        <w:ilvl w:val="1"/>
      </w:numPr>
      <w:spacing w:after="160"/>
      <w:ind w:firstLineChars="200" w:firstLine="227"/>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0"/>
    <w:link w:val="ae"/>
    <w:uiPriority w:val="11"/>
    <w:rsid w:val="00887B6D"/>
    <w:rPr>
      <w:rFonts w:asciiTheme="majorHAnsi" w:eastAsiaTheme="majorEastAsia" w:hAnsiTheme="majorHAnsi" w:cstheme="majorBidi"/>
      <w:color w:val="595959" w:themeColor="text1" w:themeTint="A6"/>
      <w:spacing w:val="15"/>
      <w:sz w:val="28"/>
      <w:szCs w:val="28"/>
    </w:rPr>
  </w:style>
  <w:style w:type="paragraph" w:customStyle="1" w:styleId="af0">
    <w:name w:val="公式"/>
    <w:basedOn w:val="a"/>
    <w:link w:val="af1"/>
    <w:qFormat/>
    <w:rsid w:val="00887B6D"/>
    <w:pPr>
      <w:tabs>
        <w:tab w:val="center" w:pos="4820"/>
        <w:tab w:val="right" w:pos="9639"/>
      </w:tabs>
      <w:ind w:firstLine="0"/>
      <w:jc w:val="center"/>
      <w:textAlignment w:val="center"/>
    </w:pPr>
  </w:style>
  <w:style w:type="character" w:customStyle="1" w:styleId="af1">
    <w:name w:val="公式 字符"/>
    <w:basedOn w:val="a0"/>
    <w:link w:val="af0"/>
    <w:rsid w:val="00887B6D"/>
    <w:rPr>
      <w:rFonts w:ascii="Times New Roman" w:eastAsia="宋体" w:hAnsi="Times New Roman"/>
      <w:sz w:val="24"/>
    </w:rPr>
  </w:style>
  <w:style w:type="paragraph" w:styleId="af2">
    <w:name w:val="List"/>
    <w:basedOn w:val="a"/>
    <w:rsid w:val="00887B6D"/>
    <w:pPr>
      <w:spacing w:line="300" w:lineRule="auto"/>
      <w:ind w:left="200" w:hangingChars="200" w:hanging="200"/>
      <w:contextualSpacing/>
    </w:pPr>
    <w:rPr>
      <w:rFonts w:cs="Times New Roman"/>
      <w:szCs w:val="24"/>
    </w:rPr>
  </w:style>
  <w:style w:type="character" w:styleId="af3">
    <w:name w:val="Intense Reference"/>
    <w:basedOn w:val="a0"/>
    <w:uiPriority w:val="32"/>
    <w:qFormat/>
    <w:rsid w:val="00887B6D"/>
    <w:rPr>
      <w:b/>
      <w:bCs/>
      <w:smallCaps/>
      <w:color w:val="2F5496" w:themeColor="accent1" w:themeShade="BF"/>
      <w:spacing w:val="5"/>
    </w:rPr>
  </w:style>
  <w:style w:type="character" w:styleId="af4">
    <w:name w:val="Intense Emphasis"/>
    <w:basedOn w:val="a0"/>
    <w:uiPriority w:val="21"/>
    <w:qFormat/>
    <w:rsid w:val="00887B6D"/>
    <w:rPr>
      <w:i/>
      <w:iCs/>
      <w:color w:val="2F5496" w:themeColor="accent1" w:themeShade="BF"/>
    </w:rPr>
  </w:style>
  <w:style w:type="paragraph" w:styleId="af5">
    <w:name w:val="Intense Quote"/>
    <w:basedOn w:val="a"/>
    <w:next w:val="a"/>
    <w:link w:val="af6"/>
    <w:uiPriority w:val="30"/>
    <w:qFormat/>
    <w:rsid w:val="00887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rsid w:val="00887B6D"/>
    <w:rPr>
      <w:rFonts w:ascii="Times New Roman" w:eastAsia="Times New Roman" w:hAnsi="Times New Roman"/>
      <w:i/>
      <w:iCs/>
      <w:color w:val="2F5496" w:themeColor="accent1" w:themeShade="BF"/>
      <w:sz w:val="24"/>
    </w:rPr>
  </w:style>
  <w:style w:type="paragraph" w:styleId="af7">
    <w:name w:val="Normal (Web)"/>
    <w:basedOn w:val="a"/>
    <w:uiPriority w:val="99"/>
    <w:semiHidden/>
    <w:unhideWhenUsed/>
    <w:rsid w:val="00887B6D"/>
    <w:rPr>
      <w:rFonts w:cs="Times New Roman"/>
      <w:szCs w:val="24"/>
    </w:rPr>
  </w:style>
  <w:style w:type="table" w:customStyle="1" w:styleId="af8">
    <w:name w:val="三线表"/>
    <w:basedOn w:val="a1"/>
    <w:rsid w:val="00887B6D"/>
    <w:rPr>
      <w:rFonts w:ascii="Times New Roman" w:eastAsia="宋体" w:hAnsi="Times New Roman" w:cs="Times New Roman"/>
      <w:kern w:val="0"/>
      <w:szCs w:val="20"/>
    </w:rPr>
    <w:tblPr>
      <w:tblInd w:w="0" w:type="nil"/>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9">
    <w:name w:val="Bibliography"/>
    <w:basedOn w:val="a"/>
    <w:next w:val="a"/>
    <w:uiPriority w:val="37"/>
    <w:unhideWhenUsed/>
    <w:rsid w:val="00887B6D"/>
    <w:pPr>
      <w:tabs>
        <w:tab w:val="left" w:pos="384"/>
      </w:tabs>
      <w:spacing w:after="240" w:line="240" w:lineRule="auto"/>
      <w:ind w:left="384" w:hanging="384"/>
    </w:pPr>
  </w:style>
  <w:style w:type="paragraph" w:styleId="afa">
    <w:name w:val="caption"/>
    <w:basedOn w:val="a"/>
    <w:next w:val="a"/>
    <w:uiPriority w:val="35"/>
    <w:qFormat/>
    <w:rsid w:val="00887B6D"/>
    <w:pPr>
      <w:spacing w:line="300" w:lineRule="auto"/>
    </w:pPr>
    <w:rPr>
      <w:rFonts w:ascii="Arial" w:eastAsia="黑体" w:hAnsi="Arial" w:cs="Arial"/>
      <w:sz w:val="20"/>
      <w:szCs w:val="20"/>
    </w:rPr>
  </w:style>
  <w:style w:type="paragraph" w:customStyle="1" w:styleId="afb">
    <w:name w:val="图题"/>
    <w:basedOn w:val="a"/>
    <w:link w:val="Char"/>
    <w:qFormat/>
    <w:rsid w:val="004B751D"/>
    <w:pPr>
      <w:topLinePunct/>
      <w:adjustRightInd w:val="0"/>
      <w:snapToGrid w:val="0"/>
      <w:ind w:firstLineChars="0" w:firstLine="0"/>
      <w:jc w:val="center"/>
    </w:pPr>
    <w:rPr>
      <w:rFonts w:cs="Times New Roman"/>
      <w:sz w:val="18"/>
      <w:szCs w:val="18"/>
    </w:rPr>
  </w:style>
  <w:style w:type="character" w:customStyle="1" w:styleId="Char">
    <w:name w:val="图题 Char"/>
    <w:link w:val="afb"/>
    <w:rsid w:val="004B751D"/>
    <w:rPr>
      <w:rFonts w:ascii="Times New Roman" w:eastAsia="宋体" w:hAnsi="Times New Roman" w:cs="Times New Roman"/>
      <w:sz w:val="18"/>
      <w:szCs w:val="18"/>
    </w:rPr>
  </w:style>
  <w:style w:type="table" w:styleId="afc">
    <w:name w:val="Table Grid"/>
    <w:basedOn w:val="a1"/>
    <w:uiPriority w:val="39"/>
    <w:rsid w:val="00887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0"/>
    <w:uiPriority w:val="22"/>
    <w:qFormat/>
    <w:rsid w:val="00887B6D"/>
    <w:rPr>
      <w:b/>
      <w:bCs/>
    </w:rPr>
  </w:style>
  <w:style w:type="paragraph" w:styleId="afe">
    <w:name w:val="Quote"/>
    <w:basedOn w:val="a"/>
    <w:next w:val="a"/>
    <w:link w:val="aff"/>
    <w:uiPriority w:val="29"/>
    <w:qFormat/>
    <w:rsid w:val="00887B6D"/>
    <w:pPr>
      <w:spacing w:before="160" w:after="160"/>
      <w:jc w:val="center"/>
    </w:pPr>
    <w:rPr>
      <w:i/>
      <w:iCs/>
      <w:color w:val="404040" w:themeColor="text1" w:themeTint="BF"/>
    </w:rPr>
  </w:style>
  <w:style w:type="character" w:customStyle="1" w:styleId="aff">
    <w:name w:val="引用 字符"/>
    <w:basedOn w:val="a0"/>
    <w:link w:val="afe"/>
    <w:uiPriority w:val="29"/>
    <w:rsid w:val="00887B6D"/>
    <w:rPr>
      <w:rFonts w:ascii="Times New Roman" w:eastAsia="Times New Roman" w:hAnsi="Times New Roman"/>
      <w:i/>
      <w:iCs/>
      <w:color w:val="404040" w:themeColor="text1" w:themeTint="BF"/>
      <w:sz w:val="24"/>
    </w:rPr>
  </w:style>
  <w:style w:type="character" w:styleId="aff0">
    <w:name w:val="Placeholder Text"/>
    <w:basedOn w:val="a0"/>
    <w:uiPriority w:val="99"/>
    <w:semiHidden/>
    <w:rsid w:val="00887B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efhub.elsevier.com/S0263-2241(26)00850-X/h0095"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hyperlink" Target="http://refhub.elsevier.com/S0263-2241(26)00850-X/h0025" TargetMode="External"/><Relationship Id="rId138" Type="http://schemas.openxmlformats.org/officeDocument/2006/relationships/hyperlink" Target="http://refhub.elsevier.com/S0263-2241(26)00850-X/h0125" TargetMode="External"/><Relationship Id="rId159" Type="http://schemas.openxmlformats.org/officeDocument/2006/relationships/hyperlink" Target="http://refhub.elsevier.com/S0263-2241(26)00850-X/h0160" TargetMode="External"/><Relationship Id="rId170" Type="http://schemas.openxmlformats.org/officeDocument/2006/relationships/footer" Target="footer3.xml"/><Relationship Id="rId107" Type="http://schemas.openxmlformats.org/officeDocument/2006/relationships/hyperlink" Target="http://refhub.elsevier.com/S0263-2241(26)00850-X/h0075" TargetMode="External"/><Relationship Id="rId11" Type="http://schemas.openxmlformats.org/officeDocument/2006/relationships/image" Target="media/image3.jpeg"/><Relationship Id="rId32" Type="http://schemas.openxmlformats.org/officeDocument/2006/relationships/image" Target="media/image24.jpeg"/><Relationship Id="rId53" Type="http://schemas.openxmlformats.org/officeDocument/2006/relationships/image" Target="media/image45.png"/><Relationship Id="rId74" Type="http://schemas.openxmlformats.org/officeDocument/2006/relationships/hyperlink" Target="http://refhub.elsevier.com/S0263-2241(26)00850-X/h0010" TargetMode="External"/><Relationship Id="rId128" Type="http://schemas.openxmlformats.org/officeDocument/2006/relationships/hyperlink" Target="http://refhub.elsevier.com/S0263-2241(26)00850-X/h0110" TargetMode="External"/><Relationship Id="rId149" Type="http://schemas.openxmlformats.org/officeDocument/2006/relationships/hyperlink" Target="http://refhub.elsevier.com/S0263-2241(26)00850-X/h0145" TargetMode="External"/><Relationship Id="rId5" Type="http://schemas.openxmlformats.org/officeDocument/2006/relationships/webSettings" Target="webSettings.xml"/><Relationship Id="rId95" Type="http://schemas.openxmlformats.org/officeDocument/2006/relationships/hyperlink" Target="http://refhub.elsevier.com/S0263-2241(26)00850-X/h0040" TargetMode="External"/><Relationship Id="rId160" Type="http://schemas.openxmlformats.org/officeDocument/2006/relationships/hyperlink" Target="http://refhub.elsevier.com/S0263-2241(26)00850-X/h0170" TargetMode="Externa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hyperlink" Target="http://refhub.elsevier.com/S0263-2241(26)00850-X/h0095" TargetMode="External"/><Relationship Id="rId139" Type="http://schemas.openxmlformats.org/officeDocument/2006/relationships/hyperlink" Target="http://refhub.elsevier.com/S0263-2241(26)00850-X/h0125" TargetMode="External"/><Relationship Id="rId85" Type="http://schemas.openxmlformats.org/officeDocument/2006/relationships/hyperlink" Target="http://refhub.elsevier.com/S0263-2241(26)00850-X/h0025" TargetMode="External"/><Relationship Id="rId150" Type="http://schemas.openxmlformats.org/officeDocument/2006/relationships/hyperlink" Target="http://refhub.elsevier.com/S0263-2241(26)00850-X/h0145" TargetMode="External"/><Relationship Id="rId171" Type="http://schemas.openxmlformats.org/officeDocument/2006/relationships/fontTable" Target="fontTable.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hyperlink" Target="http://refhub.elsevier.com/S0263-2241(26)00850-X/h0080" TargetMode="External"/><Relationship Id="rId129" Type="http://schemas.openxmlformats.org/officeDocument/2006/relationships/hyperlink" Target="http://refhub.elsevier.com/S0263-2241(26)00850-X/h0115" TargetMode="External"/><Relationship Id="rId54" Type="http://schemas.openxmlformats.org/officeDocument/2006/relationships/image" Target="media/image46.png"/><Relationship Id="rId70" Type="http://schemas.openxmlformats.org/officeDocument/2006/relationships/hyperlink" Target="http://refhub.elsevier.com/S0263-2241(26)00850-X/h0005" TargetMode="External"/><Relationship Id="rId75" Type="http://schemas.openxmlformats.org/officeDocument/2006/relationships/hyperlink" Target="http://refhub.elsevier.com/S0263-2241(26)00850-X/h0010" TargetMode="External"/><Relationship Id="rId91" Type="http://schemas.openxmlformats.org/officeDocument/2006/relationships/hyperlink" Target="http://refhub.elsevier.com/S0263-2241(26)00850-X/h0035" TargetMode="External"/><Relationship Id="rId96" Type="http://schemas.openxmlformats.org/officeDocument/2006/relationships/hyperlink" Target="http://refhub.elsevier.com/S0263-2241(26)00850-X/h0045" TargetMode="External"/><Relationship Id="rId140" Type="http://schemas.openxmlformats.org/officeDocument/2006/relationships/hyperlink" Target="http://refhub.elsevier.com/S0263-2241(26)00850-X/h0130" TargetMode="External"/><Relationship Id="rId145" Type="http://schemas.openxmlformats.org/officeDocument/2006/relationships/hyperlink" Target="http://refhub.elsevier.com/S0263-2241(26)00850-X/h0135" TargetMode="External"/><Relationship Id="rId161" Type="http://schemas.openxmlformats.org/officeDocument/2006/relationships/hyperlink" Target="http://refhub.elsevier.com/S0263-2241(26)00850-X/h0170" TargetMode="External"/><Relationship Id="rId16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refhub.elsevier.com/S0263-2241(26)00850-X/h0085" TargetMode="External"/><Relationship Id="rId119" Type="http://schemas.openxmlformats.org/officeDocument/2006/relationships/hyperlink" Target="http://refhub.elsevier.com/S0263-2241(26)00850-X/h0095" TargetMode="External"/><Relationship Id="rId44" Type="http://schemas.openxmlformats.org/officeDocument/2006/relationships/image" Target="media/image36.pn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hyperlink" Target="http://refhub.elsevier.com/S0263-2241(26)00850-X/h0020" TargetMode="External"/><Relationship Id="rId86" Type="http://schemas.openxmlformats.org/officeDocument/2006/relationships/hyperlink" Target="http://refhub.elsevier.com/S0263-2241(26)00850-X/h0025" TargetMode="External"/><Relationship Id="rId130" Type="http://schemas.openxmlformats.org/officeDocument/2006/relationships/hyperlink" Target="http://refhub.elsevier.com/S0263-2241(26)00850-X/h0115" TargetMode="External"/><Relationship Id="rId135" Type="http://schemas.openxmlformats.org/officeDocument/2006/relationships/hyperlink" Target="http://refhub.elsevier.com/S0263-2241(26)00850-X/h0125" TargetMode="External"/><Relationship Id="rId151" Type="http://schemas.openxmlformats.org/officeDocument/2006/relationships/hyperlink" Target="http://refhub.elsevier.com/S0263-2241(26)00850-X/h0145" TargetMode="External"/><Relationship Id="rId156" Type="http://schemas.openxmlformats.org/officeDocument/2006/relationships/hyperlink" Target="http://refhub.elsevier.com/S0263-2241(26)00850-X/h0150" TargetMode="External"/><Relationship Id="rId172" Type="http://schemas.openxmlformats.org/officeDocument/2006/relationships/theme" Target="theme/theme1.xml"/><Relationship Id="rId13" Type="http://schemas.openxmlformats.org/officeDocument/2006/relationships/image" Target="media/image5.emf"/><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refhub.elsevier.com/S0263-2241(26)00850-X/h0080" TargetMode="External"/><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hyperlink" Target="http://refhub.elsevier.com/S0263-2241(26)00850-X/h0010" TargetMode="External"/><Relationship Id="rId97" Type="http://schemas.openxmlformats.org/officeDocument/2006/relationships/hyperlink" Target="http://refhub.elsevier.com/S0263-2241(26)00850-X/h0045" TargetMode="External"/><Relationship Id="rId104" Type="http://schemas.openxmlformats.org/officeDocument/2006/relationships/hyperlink" Target="http://refhub.elsevier.com/S0263-2241(26)00850-X/h0060" TargetMode="External"/><Relationship Id="rId120" Type="http://schemas.openxmlformats.org/officeDocument/2006/relationships/hyperlink" Target="http://refhub.elsevier.com/S0263-2241(26)00850-X/h0095" TargetMode="External"/><Relationship Id="rId125" Type="http://schemas.openxmlformats.org/officeDocument/2006/relationships/hyperlink" Target="http://refhub.elsevier.com/S0263-2241(26)00850-X/h0105" TargetMode="External"/><Relationship Id="rId141" Type="http://schemas.openxmlformats.org/officeDocument/2006/relationships/hyperlink" Target="http://refhub.elsevier.com/S0263-2241(26)00850-X/h0130" TargetMode="External"/><Relationship Id="rId146" Type="http://schemas.openxmlformats.org/officeDocument/2006/relationships/hyperlink" Target="http://refhub.elsevier.com/S0263-2241(26)00850-X/h0140" TargetMode="External"/><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refhub.elsevier.com/S0263-2241(26)00850-X/h0010" TargetMode="External"/><Relationship Id="rId92" Type="http://schemas.openxmlformats.org/officeDocument/2006/relationships/hyperlink" Target="http://refhub.elsevier.com/S0263-2241(26)00850-X/h0035" TargetMode="External"/><Relationship Id="rId162" Type="http://schemas.openxmlformats.org/officeDocument/2006/relationships/hyperlink" Target="http://refhub.elsevier.com/S0263-2241(26)00850-X/h017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refhub.elsevier.com/S0263-2241(26)00850-X/h0030" TargetMode="External"/><Relationship Id="rId110" Type="http://schemas.openxmlformats.org/officeDocument/2006/relationships/hyperlink" Target="http://refhub.elsevier.com/S0263-2241(26)00850-X/h0080" TargetMode="External"/><Relationship Id="rId115" Type="http://schemas.openxmlformats.org/officeDocument/2006/relationships/hyperlink" Target="http://refhub.elsevier.com/S0263-2241(26)00850-X/h0090" TargetMode="External"/><Relationship Id="rId131" Type="http://schemas.openxmlformats.org/officeDocument/2006/relationships/hyperlink" Target="http://refhub.elsevier.com/S0263-2241(26)00850-X/h0115" TargetMode="External"/><Relationship Id="rId136" Type="http://schemas.openxmlformats.org/officeDocument/2006/relationships/hyperlink" Target="http://refhub.elsevier.com/S0263-2241(26)00850-X/h0125" TargetMode="External"/><Relationship Id="rId157" Type="http://schemas.openxmlformats.org/officeDocument/2006/relationships/hyperlink" Target="http://refhub.elsevier.com/S0263-2241(26)00850-X/h0155" TargetMode="External"/><Relationship Id="rId61" Type="http://schemas.openxmlformats.org/officeDocument/2006/relationships/image" Target="media/image53.jpeg"/><Relationship Id="rId82" Type="http://schemas.openxmlformats.org/officeDocument/2006/relationships/hyperlink" Target="http://refhub.elsevier.com/S0263-2241(26)00850-X/h0025" TargetMode="External"/><Relationship Id="rId152" Type="http://schemas.openxmlformats.org/officeDocument/2006/relationships/hyperlink" Target="http://refhub.elsevier.com/S0263-2241(26)00850-X/h0150"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emf"/><Relationship Id="rId56" Type="http://schemas.openxmlformats.org/officeDocument/2006/relationships/image" Target="media/image48.jpeg"/><Relationship Id="rId77" Type="http://schemas.openxmlformats.org/officeDocument/2006/relationships/hyperlink" Target="http://refhub.elsevier.com/S0263-2241(26)00850-X/h0020" TargetMode="External"/><Relationship Id="rId100" Type="http://schemas.openxmlformats.org/officeDocument/2006/relationships/hyperlink" Target="http://refhub.elsevier.com/S0263-2241(26)00850-X/h0045" TargetMode="External"/><Relationship Id="rId105" Type="http://schemas.openxmlformats.org/officeDocument/2006/relationships/hyperlink" Target="http://refhub.elsevier.com/S0263-2241(26)00850-X/h0070" TargetMode="External"/><Relationship Id="rId126" Type="http://schemas.openxmlformats.org/officeDocument/2006/relationships/hyperlink" Target="http://refhub.elsevier.com/S0263-2241(26)00850-X/h0110" TargetMode="External"/><Relationship Id="rId147" Type="http://schemas.openxmlformats.org/officeDocument/2006/relationships/hyperlink" Target="http://refhub.elsevier.com/S0263-2241(26)00850-X/h0145" TargetMode="External"/><Relationship Id="rId16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hyperlink" Target="http://refhub.elsevier.com/S0263-2241(26)00850-X/h0010" TargetMode="External"/><Relationship Id="rId93" Type="http://schemas.openxmlformats.org/officeDocument/2006/relationships/hyperlink" Target="http://refhub.elsevier.com/S0263-2241(26)00850-X/h0040" TargetMode="External"/><Relationship Id="rId98" Type="http://schemas.openxmlformats.org/officeDocument/2006/relationships/hyperlink" Target="http://refhub.elsevier.com/S0263-2241(26)00850-X/h0045" TargetMode="External"/><Relationship Id="rId121" Type="http://schemas.openxmlformats.org/officeDocument/2006/relationships/hyperlink" Target="http://refhub.elsevier.com/S0263-2241(26)00850-X/h0095" TargetMode="External"/><Relationship Id="rId142" Type="http://schemas.openxmlformats.org/officeDocument/2006/relationships/hyperlink" Target="http://refhub.elsevier.com/S0263-2241(26)00850-X/h0130" TargetMode="External"/><Relationship Id="rId163" Type="http://schemas.openxmlformats.org/officeDocument/2006/relationships/hyperlink" Target="http://refhub.elsevier.com/S0263-2241(26)00850-X/h0170"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refhub.elsevier.com/S0263-2241(26)00850-X/h0090" TargetMode="External"/><Relationship Id="rId137" Type="http://schemas.openxmlformats.org/officeDocument/2006/relationships/hyperlink" Target="http://refhub.elsevier.com/S0263-2241(26)00850-X/h0125" TargetMode="External"/><Relationship Id="rId158" Type="http://schemas.openxmlformats.org/officeDocument/2006/relationships/hyperlink" Target="http://refhub.elsevier.com/S0263-2241(26)00850-X/h0155"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hyperlink" Target="http://refhub.elsevier.com/S0263-2241(26)00850-X/h0025" TargetMode="External"/><Relationship Id="rId88" Type="http://schemas.openxmlformats.org/officeDocument/2006/relationships/hyperlink" Target="http://refhub.elsevier.com/S0263-2241(26)00850-X/h0030" TargetMode="External"/><Relationship Id="rId111" Type="http://schemas.openxmlformats.org/officeDocument/2006/relationships/hyperlink" Target="http://refhub.elsevier.com/S0263-2241(26)00850-X/h0080" TargetMode="External"/><Relationship Id="rId132" Type="http://schemas.openxmlformats.org/officeDocument/2006/relationships/hyperlink" Target="http://refhub.elsevier.com/S0263-2241(26)00850-X/h0120" TargetMode="External"/><Relationship Id="rId153" Type="http://schemas.openxmlformats.org/officeDocument/2006/relationships/hyperlink" Target="http://refhub.elsevier.com/S0263-2241(26)00850-X/h0150" TargetMode="External"/><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hyperlink" Target="http://refhub.elsevier.com/S0263-2241(26)00850-X/h0075" TargetMode="External"/><Relationship Id="rId127" Type="http://schemas.openxmlformats.org/officeDocument/2006/relationships/hyperlink" Target="http://refhub.elsevier.com/S0263-2241(26)00850-X/h0110" TargetMode="External"/><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hyperlink" Target="http://refhub.elsevier.com/S0263-2241(26)00850-X/h0010" TargetMode="External"/><Relationship Id="rId78" Type="http://schemas.openxmlformats.org/officeDocument/2006/relationships/hyperlink" Target="http://refhub.elsevier.com/S0263-2241(26)00850-X/h0020" TargetMode="External"/><Relationship Id="rId94" Type="http://schemas.openxmlformats.org/officeDocument/2006/relationships/hyperlink" Target="http://refhub.elsevier.com/S0263-2241(26)00850-X/h0040" TargetMode="External"/><Relationship Id="rId99" Type="http://schemas.openxmlformats.org/officeDocument/2006/relationships/hyperlink" Target="http://refhub.elsevier.com/S0263-2241(26)00850-X/h0045" TargetMode="External"/><Relationship Id="rId101" Type="http://schemas.openxmlformats.org/officeDocument/2006/relationships/hyperlink" Target="http://refhub.elsevier.com/S0263-2241(26)00850-X/h0045" TargetMode="External"/><Relationship Id="rId122" Type="http://schemas.openxmlformats.org/officeDocument/2006/relationships/hyperlink" Target="http://refhub.elsevier.com/S0263-2241(26)00850-X/h0100" TargetMode="External"/><Relationship Id="rId143" Type="http://schemas.openxmlformats.org/officeDocument/2006/relationships/hyperlink" Target="http://refhub.elsevier.com/S0263-2241(26)00850-X/h0135" TargetMode="External"/><Relationship Id="rId148" Type="http://schemas.openxmlformats.org/officeDocument/2006/relationships/hyperlink" Target="http://refhub.elsevier.com/S0263-2241(26)00850-X/h0145" TargetMode="External"/><Relationship Id="rId164" Type="http://schemas.openxmlformats.org/officeDocument/2006/relationships/hyperlink" Target="http://refhub.elsevier.com/S0263-2241(26)00850-X/h0170" TargetMode="External"/><Relationship Id="rId16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deepl.com/pro?cta=edit-document" TargetMode="Externa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hyperlink" Target="http://refhub.elsevier.com/S0263-2241(26)00850-X/h0030" TargetMode="External"/><Relationship Id="rId112" Type="http://schemas.openxmlformats.org/officeDocument/2006/relationships/hyperlink" Target="http://refhub.elsevier.com/S0263-2241(26)00850-X/h0080" TargetMode="External"/><Relationship Id="rId133" Type="http://schemas.openxmlformats.org/officeDocument/2006/relationships/hyperlink" Target="http://refhub.elsevier.com/S0263-2241(26)00850-X/h0120" TargetMode="External"/><Relationship Id="rId154" Type="http://schemas.openxmlformats.org/officeDocument/2006/relationships/hyperlink" Target="http://refhub.elsevier.com/S0263-2241(26)00850-X/h0150" TargetMode="External"/><Relationship Id="rId16" Type="http://schemas.openxmlformats.org/officeDocument/2006/relationships/image" Target="media/image8.png"/><Relationship Id="rId37" Type="http://schemas.openxmlformats.org/officeDocument/2006/relationships/image" Target="media/image29.jpeg"/><Relationship Id="rId58" Type="http://schemas.openxmlformats.org/officeDocument/2006/relationships/image" Target="media/image50.png"/><Relationship Id="rId79" Type="http://schemas.openxmlformats.org/officeDocument/2006/relationships/hyperlink" Target="http://refhub.elsevier.com/S0263-2241(26)00850-X/h0020" TargetMode="External"/><Relationship Id="rId102" Type="http://schemas.openxmlformats.org/officeDocument/2006/relationships/hyperlink" Target="http://refhub.elsevier.com/S0263-2241(26)00850-X/h0050" TargetMode="External"/><Relationship Id="rId123" Type="http://schemas.openxmlformats.org/officeDocument/2006/relationships/hyperlink" Target="http://refhub.elsevier.com/S0263-2241(26)00850-X/h0105" TargetMode="External"/><Relationship Id="rId144" Type="http://schemas.openxmlformats.org/officeDocument/2006/relationships/hyperlink" Target="http://refhub.elsevier.com/S0263-2241(26)00850-X/h0135" TargetMode="External"/><Relationship Id="rId90" Type="http://schemas.openxmlformats.org/officeDocument/2006/relationships/hyperlink" Target="http://refhub.elsevier.com/S0263-2241(26)00850-X/h0035" TargetMode="External"/><Relationship Id="rId165" Type="http://schemas.openxmlformats.org/officeDocument/2006/relationships/header" Target="header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hyperlink" Target="http://refhub.elsevier.com/S0263-2241(26)00850-X/h0080" TargetMode="External"/><Relationship Id="rId134" Type="http://schemas.openxmlformats.org/officeDocument/2006/relationships/hyperlink" Target="http://refhub.elsevier.com/S0263-2241(26)00850-X/h0125" TargetMode="External"/><Relationship Id="rId80" Type="http://schemas.openxmlformats.org/officeDocument/2006/relationships/hyperlink" Target="http://refhub.elsevier.com/S0263-2241(26)00850-X/h0020" TargetMode="External"/><Relationship Id="rId155" Type="http://schemas.openxmlformats.org/officeDocument/2006/relationships/hyperlink" Target="http://refhub.elsevier.com/S0263-2241(26)00850-X/h0150" TargetMode="External"/><Relationship Id="rId17" Type="http://schemas.openxmlformats.org/officeDocument/2006/relationships/image" Target="media/image9.jpe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refhub.elsevier.com/S0263-2241(26)00850-X/h0055" TargetMode="External"/><Relationship Id="rId124" Type="http://schemas.openxmlformats.org/officeDocument/2006/relationships/hyperlink" Target="http://refhub.elsevier.com/S0263-2241(26)00850-X/h010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6A6FA-2908-4004-81D4-B201719F3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36</Pages>
  <Words>5410</Words>
  <Characters>30842</Characters>
  <Application>Microsoft Office Word</Application>
  <DocSecurity>0</DocSecurity>
  <Lines>257</Lines>
  <Paragraphs>72</Paragraphs>
  <ScaleCrop>false</ScaleCrop>
  <Company/>
  <LinksUpToDate>false</LinksUpToDate>
  <CharactersWithSpaces>36180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什么棋 杨</dc:creator>
  <cp:keywords>, docId:CF1CD4B6E987DAF914B2EB46724AB6D7</cp:keywords>
  <dc:description/>
  <cp:lastModifiedBy>什么棋 杨</cp:lastModifiedBy>
  <cp:revision>12</cp:revision>
  <dcterms:created xsi:type="dcterms:W3CDTF">2026-07-09T02:37:00Z</dcterms:created>
  <dcterms:modified xsi:type="dcterms:W3CDTF">2026-07-09T09:32:00Z</dcterms:modified>
</cp:coreProperties>
</file>