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mbeddings/Microsoft_Visio___1.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B6F2E7">
      <w:pPr>
        <w:spacing w:before="156" w:beforeLines="50"/>
        <w:ind w:firstLine="883"/>
        <w:jc w:val="center"/>
        <w:rPr>
          <w:rFonts w:eastAsia="楷体_GB2312"/>
          <w:b/>
          <w:bCs/>
          <w:sz w:val="44"/>
        </w:rPr>
      </w:pPr>
      <w:r>
        <w:rPr>
          <w:rFonts w:hint="eastAsia" w:eastAsia="楷体_GB2312"/>
          <w:b/>
          <w:bCs/>
          <w:sz w:val="44"/>
        </w:rPr>
        <w:t xml:space="preserve"> </w:t>
      </w:r>
      <w:r>
        <w:rPr>
          <w:rFonts w:eastAsia="楷体_GB2312"/>
          <w:b/>
          <w:bCs/>
          <w:sz w:val="44"/>
        </w:rPr>
        <w:t xml:space="preserve"> </w:t>
      </w:r>
      <w:r>
        <w:rPr>
          <w:rFonts w:hint="eastAsia" w:eastAsia="楷体_GB2312"/>
          <w:b/>
          <w:bCs/>
          <w:sz w:val="44"/>
        </w:rPr>
        <w:t>西南石油大学研究生学位论文</w:t>
      </w:r>
    </w:p>
    <w:p w14:paraId="38917A56">
      <w:pPr>
        <w:spacing w:before="156" w:beforeLines="50"/>
        <w:ind w:firstLine="1446"/>
        <w:jc w:val="center"/>
        <w:rPr>
          <w:rFonts w:eastAsia="楷体_GB2312"/>
          <w:b/>
          <w:bCs/>
          <w:sz w:val="72"/>
        </w:rPr>
      </w:pPr>
      <w:r>
        <w:rPr>
          <w:rFonts w:hint="eastAsia" w:eastAsia="楷体_GB2312"/>
          <w:b/>
          <w:bCs/>
          <w:sz w:val="72"/>
        </w:rPr>
        <w:t>开题报告</w:t>
      </w:r>
    </w:p>
    <w:p w14:paraId="400EF6BB">
      <w:pPr>
        <w:ind w:firstLine="280" w:firstLineChars="100"/>
        <w:rPr>
          <w:rFonts w:eastAsia="仿宋_GB2312"/>
          <w:sz w:val="28"/>
        </w:rPr>
      </w:pPr>
    </w:p>
    <w:p w14:paraId="191C3456">
      <w:pPr>
        <w:ind w:firstLine="280" w:firstLineChars="100"/>
        <w:rPr>
          <w:rFonts w:eastAsia="仿宋_GB2312"/>
          <w:sz w:val="28"/>
        </w:rPr>
      </w:pPr>
    </w:p>
    <w:p w14:paraId="6A1076E5">
      <w:pPr>
        <w:ind w:firstLine="1966" w:firstLineChars="612"/>
        <w:rPr>
          <w:rFonts w:eastAsia="仿宋_GB2312"/>
          <w:sz w:val="32"/>
          <w:u w:val="single"/>
        </w:rPr>
      </w:pPr>
      <w:r>
        <w:rPr>
          <w:rFonts w:hint="eastAsia" w:eastAsia="仿宋_GB2312"/>
          <w:b/>
          <w:bCs/>
          <w:sz w:val="32"/>
        </w:rPr>
        <w:t>论文题目</w:t>
      </w:r>
      <w:r>
        <w:rPr>
          <w:rFonts w:eastAsia="仿宋_GB2312"/>
          <w:sz w:val="32"/>
          <w:u w:val="single"/>
        </w:rPr>
        <w:t>基于机器视觉与双机器人</w:t>
      </w:r>
    </w:p>
    <w:p w14:paraId="14AE1D1D">
      <w:pPr>
        <w:ind w:firstLine="3238" w:firstLineChars="1012"/>
        <w:rPr>
          <w:rFonts w:eastAsia="仿宋_GB2312"/>
          <w:sz w:val="32"/>
          <w:u w:val="single"/>
        </w:rPr>
      </w:pPr>
      <w:r>
        <w:rPr>
          <w:rFonts w:eastAsia="仿宋_GB2312"/>
          <w:sz w:val="32"/>
          <w:u w:val="single"/>
        </w:rPr>
        <w:t>协调装配</w:t>
      </w:r>
      <w:r>
        <w:rPr>
          <w:rFonts w:hint="eastAsia" w:eastAsia="仿宋_GB2312"/>
          <w:sz w:val="32"/>
          <w:u w:val="single"/>
          <w:lang w:val="en-US" w:eastAsia="zh-CN"/>
        </w:rPr>
        <w:t>的</w:t>
      </w:r>
      <w:r>
        <w:rPr>
          <w:rFonts w:hint="eastAsia" w:eastAsia="仿宋_GB2312"/>
          <w:sz w:val="32"/>
          <w:u w:val="single"/>
        </w:rPr>
        <w:t>控制方法</w:t>
      </w:r>
      <w:r>
        <w:rPr>
          <w:rFonts w:eastAsia="仿宋_GB2312"/>
          <w:sz w:val="32"/>
          <w:u w:val="single"/>
        </w:rPr>
        <w:t>研究</w:t>
      </w:r>
    </w:p>
    <w:p w14:paraId="769FA6EA">
      <w:pPr>
        <w:spacing w:after="312" w:afterLines="100"/>
        <w:ind w:firstLine="1928" w:firstLineChars="600"/>
        <w:rPr>
          <w:rFonts w:eastAsia="仿宋_GB2312"/>
          <w:sz w:val="32"/>
          <w:u w:val="single"/>
        </w:rPr>
      </w:pPr>
      <w:r>
        <w:rPr>
          <w:rFonts w:hint="eastAsia" w:eastAsia="仿宋_GB2312"/>
          <w:b/>
          <w:bCs/>
          <w:sz w:val="32"/>
        </w:rPr>
        <w:t>院    系</w:t>
      </w:r>
      <w:r>
        <w:rPr>
          <w:rFonts w:hint="eastAsia" w:eastAsia="仿宋_GB2312"/>
          <w:sz w:val="32"/>
          <w:u w:val="single"/>
        </w:rPr>
        <w:t xml:space="preserve">    机电工程学院   </w:t>
      </w:r>
    </w:p>
    <w:p w14:paraId="65D366DA">
      <w:pPr>
        <w:spacing w:after="312" w:afterLines="100"/>
        <w:ind w:firstLine="1928" w:firstLineChars="600"/>
        <w:rPr>
          <w:rFonts w:eastAsia="仿宋_GB2312"/>
          <w:sz w:val="32"/>
          <w:u w:val="single"/>
        </w:rPr>
      </w:pPr>
      <w:r>
        <w:rPr>
          <w:rFonts w:hint="eastAsia" w:eastAsia="仿宋_GB2312"/>
          <w:b/>
          <w:bCs/>
          <w:sz w:val="32"/>
        </w:rPr>
        <w:t>专    业</w:t>
      </w:r>
      <w:r>
        <w:rPr>
          <w:rFonts w:hint="eastAsia" w:eastAsia="仿宋_GB2312"/>
          <w:sz w:val="32"/>
          <w:u w:val="single"/>
        </w:rPr>
        <w:t xml:space="preserve">      机械         </w:t>
      </w:r>
    </w:p>
    <w:p w14:paraId="7A1D9F2B">
      <w:pPr>
        <w:spacing w:after="312" w:afterLines="100"/>
        <w:ind w:firstLine="1928" w:firstLineChars="600"/>
        <w:rPr>
          <w:rFonts w:eastAsia="仿宋_GB2312"/>
          <w:b/>
          <w:bCs/>
          <w:sz w:val="32"/>
          <w:u w:val="single"/>
        </w:rPr>
      </w:pPr>
      <w:r>
        <w:rPr>
          <w:rFonts w:hint="eastAsia" w:eastAsia="仿宋_GB2312"/>
          <w:b/>
          <w:bCs/>
          <w:sz w:val="32"/>
        </w:rPr>
        <w:t>年    级</w:t>
      </w:r>
      <w:r>
        <w:rPr>
          <w:rFonts w:hint="eastAsia" w:eastAsia="仿宋_GB2312"/>
          <w:sz w:val="32"/>
          <w:u w:val="single"/>
        </w:rPr>
        <w:t xml:space="preserve">      2023         </w:t>
      </w:r>
    </w:p>
    <w:p w14:paraId="5D703CFD">
      <w:pPr>
        <w:spacing w:after="312" w:afterLines="100"/>
        <w:ind w:firstLine="1928" w:firstLineChars="600"/>
        <w:rPr>
          <w:rFonts w:eastAsia="仿宋_GB2312"/>
          <w:b/>
          <w:bCs/>
          <w:sz w:val="32"/>
          <w:u w:val="single"/>
        </w:rPr>
      </w:pPr>
      <w:r>
        <w:rPr>
          <w:rFonts w:hint="eastAsia" w:eastAsia="仿宋_GB2312"/>
          <w:b/>
          <w:bCs/>
          <w:sz w:val="32"/>
        </w:rPr>
        <w:t>姓    名</w:t>
      </w:r>
      <w:r>
        <w:rPr>
          <w:rFonts w:hint="eastAsia" w:eastAsia="仿宋_GB2312"/>
          <w:sz w:val="32"/>
          <w:u w:val="single"/>
        </w:rPr>
        <w:t xml:space="preserve">      张朋铖       </w:t>
      </w:r>
    </w:p>
    <w:p w14:paraId="35E0A63B">
      <w:pPr>
        <w:spacing w:after="312" w:afterLines="100"/>
        <w:ind w:firstLine="1928" w:firstLineChars="600"/>
        <w:rPr>
          <w:rFonts w:eastAsia="仿宋_GB2312"/>
          <w:sz w:val="28"/>
          <w:u w:val="single"/>
        </w:rPr>
      </w:pPr>
      <w:r>
        <w:rPr>
          <w:rFonts w:hint="eastAsia" w:eastAsia="仿宋_GB2312"/>
          <w:b/>
          <w:bCs/>
          <w:sz w:val="32"/>
        </w:rPr>
        <w:t>导    师</w:t>
      </w:r>
      <w:r>
        <w:rPr>
          <w:rFonts w:hint="eastAsia" w:eastAsia="仿宋_GB2312"/>
          <w:b/>
          <w:bCs/>
          <w:sz w:val="32"/>
          <w:u w:val="single"/>
        </w:rPr>
        <w:t xml:space="preserve"> </w:t>
      </w:r>
      <w:r>
        <w:rPr>
          <w:rFonts w:hint="eastAsia" w:eastAsia="仿宋_GB2312"/>
          <w:sz w:val="28"/>
          <w:u w:val="single"/>
        </w:rPr>
        <w:t xml:space="preserve">      </w:t>
      </w:r>
      <w:r>
        <w:rPr>
          <w:rFonts w:hint="eastAsia" w:eastAsia="仿宋_GB2312"/>
          <w:sz w:val="32"/>
          <w:szCs w:val="32"/>
          <w:u w:val="single"/>
        </w:rPr>
        <w:t>潘盛湖</w:t>
      </w:r>
      <w:r>
        <w:rPr>
          <w:rFonts w:hint="eastAsia" w:eastAsia="仿宋_GB2312"/>
          <w:sz w:val="28"/>
          <w:u w:val="single"/>
        </w:rPr>
        <w:t xml:space="preserve">        </w:t>
      </w:r>
    </w:p>
    <w:p w14:paraId="0655E3A1">
      <w:pPr>
        <w:spacing w:after="312" w:afterLines="100"/>
        <w:ind w:firstLine="1928" w:firstLineChars="600"/>
        <w:rPr>
          <w:rFonts w:eastAsia="仿宋_GB2312"/>
          <w:sz w:val="28"/>
          <w:u w:val="single"/>
        </w:rPr>
      </w:pPr>
      <w:r>
        <w:rPr>
          <w:rFonts w:hint="eastAsia" w:eastAsia="仿宋_GB2312"/>
          <w:b/>
          <w:bCs/>
          <w:sz w:val="32"/>
        </w:rPr>
        <w:t>学    号</w:t>
      </w:r>
      <w:r>
        <w:rPr>
          <w:rFonts w:hint="eastAsia" w:eastAsia="仿宋_GB2312"/>
          <w:sz w:val="28"/>
        </w:rPr>
        <w:t xml:space="preserve"> </w:t>
      </w:r>
      <w:r>
        <w:rPr>
          <w:rFonts w:hint="eastAsia" w:eastAsia="仿宋_GB2312"/>
          <w:sz w:val="28"/>
          <w:u w:val="single"/>
        </w:rPr>
        <w:t xml:space="preserve">    202322000411    </w:t>
      </w:r>
    </w:p>
    <w:p w14:paraId="280A41D3">
      <w:pPr>
        <w:ind w:firstLine="1680" w:firstLineChars="600"/>
        <w:rPr>
          <w:rFonts w:eastAsia="仿宋_GB2312"/>
          <w:sz w:val="28"/>
        </w:rPr>
      </w:pPr>
      <w:r>
        <w:rPr>
          <w:rFonts w:hint="eastAsia" w:eastAsia="仿宋_GB2312"/>
          <w:sz w:val="28"/>
        </w:rPr>
        <w:t xml:space="preserve">  </w:t>
      </w:r>
    </w:p>
    <w:p w14:paraId="2C8C072E">
      <w:pPr>
        <w:ind w:firstLine="1680" w:firstLineChars="600"/>
        <w:rPr>
          <w:rFonts w:eastAsia="仿宋_GB2312"/>
          <w:sz w:val="28"/>
          <w:u w:val="single"/>
        </w:rPr>
      </w:pPr>
    </w:p>
    <w:p w14:paraId="12FC4D26">
      <w:pPr>
        <w:ind w:firstLine="560"/>
        <w:rPr>
          <w:rFonts w:eastAsia="仿宋_GB2312"/>
          <w:sz w:val="28"/>
          <w:u w:val="single"/>
        </w:rPr>
      </w:pPr>
    </w:p>
    <w:p w14:paraId="742871AF">
      <w:pPr>
        <w:ind w:firstLine="1680" w:firstLineChars="600"/>
        <w:rPr>
          <w:rFonts w:eastAsia="仿宋_GB2312"/>
          <w:sz w:val="28"/>
          <w:u w:val="single"/>
        </w:rPr>
      </w:pPr>
    </w:p>
    <w:p w14:paraId="4E9E4055">
      <w:pPr>
        <w:ind w:firstLine="1680" w:firstLineChars="600"/>
        <w:rPr>
          <w:rFonts w:eastAsia="仿宋_GB2312"/>
          <w:sz w:val="28"/>
        </w:rPr>
      </w:pPr>
      <w:r>
        <w:rPr>
          <w:rFonts w:hint="eastAsia" w:eastAsia="仿宋_GB2312"/>
          <w:sz w:val="28"/>
        </w:rPr>
        <w:t>填表时间</w:t>
      </w:r>
      <w:r>
        <w:rPr>
          <w:rFonts w:hint="eastAsia" w:eastAsia="仿宋_GB2312"/>
          <w:sz w:val="28"/>
          <w:u w:val="single"/>
        </w:rPr>
        <w:t xml:space="preserve">  </w:t>
      </w:r>
      <w:r>
        <w:rPr>
          <w:rFonts w:eastAsia="仿宋_GB2312"/>
          <w:sz w:val="28"/>
          <w:u w:val="single"/>
        </w:rPr>
        <w:t>202</w:t>
      </w:r>
      <w:r>
        <w:rPr>
          <w:rFonts w:hint="eastAsia" w:eastAsia="仿宋_GB2312"/>
          <w:sz w:val="28"/>
          <w:u w:val="single"/>
        </w:rPr>
        <w:t xml:space="preserve">4  </w:t>
      </w:r>
      <w:r>
        <w:rPr>
          <w:rFonts w:hint="eastAsia" w:eastAsia="仿宋_GB2312"/>
          <w:sz w:val="28"/>
        </w:rPr>
        <w:t>年</w:t>
      </w:r>
      <w:r>
        <w:rPr>
          <w:rFonts w:hint="eastAsia" w:eastAsia="仿宋_GB2312"/>
          <w:sz w:val="28"/>
          <w:u w:val="single"/>
        </w:rPr>
        <w:t xml:space="preserve">  </w:t>
      </w:r>
      <w:r>
        <w:rPr>
          <w:rFonts w:eastAsia="仿宋_GB2312"/>
          <w:sz w:val="28"/>
          <w:u w:val="single"/>
        </w:rPr>
        <w:t>1</w:t>
      </w:r>
      <w:r>
        <w:rPr>
          <w:rFonts w:hint="eastAsia" w:eastAsia="仿宋_GB2312"/>
          <w:sz w:val="28"/>
          <w:u w:val="single"/>
        </w:rPr>
        <w:t xml:space="preserve">2  </w:t>
      </w:r>
      <w:r>
        <w:rPr>
          <w:rFonts w:hint="eastAsia" w:eastAsia="仿宋_GB2312"/>
          <w:sz w:val="28"/>
        </w:rPr>
        <w:t>月</w:t>
      </w:r>
      <w:r>
        <w:rPr>
          <w:rFonts w:hint="eastAsia" w:eastAsia="仿宋_GB2312"/>
          <w:sz w:val="28"/>
          <w:u w:val="single"/>
        </w:rPr>
        <w:t xml:space="preserve">  20  </w:t>
      </w:r>
      <w:r>
        <w:rPr>
          <w:rFonts w:hint="eastAsia" w:eastAsia="仿宋_GB2312"/>
          <w:sz w:val="28"/>
        </w:rPr>
        <w:t>日</w:t>
      </w:r>
    </w:p>
    <w:p w14:paraId="2816DD2A">
      <w:pPr>
        <w:ind w:firstLine="199" w:firstLineChars="55"/>
        <w:rPr>
          <w:rFonts w:eastAsia="仿宋_GB2312"/>
          <w:b/>
          <w:bCs/>
          <w:sz w:val="36"/>
        </w:rPr>
      </w:pPr>
      <w:r>
        <w:rPr>
          <w:rFonts w:eastAsia="仿宋_GB2312"/>
          <w:b/>
          <w:bCs/>
          <w:sz w:val="36"/>
        </w:rPr>
        <w:br w:type="page"/>
      </w:r>
      <w:r>
        <w:rPr>
          <w:rFonts w:hint="eastAsia" w:eastAsia="仿宋_GB2312"/>
          <w:b/>
          <w:bCs/>
          <w:sz w:val="36"/>
        </w:rPr>
        <w:t xml:space="preserve"> </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9ADC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tcPr>
          <w:p w14:paraId="102F5766">
            <w:pPr>
              <w:numPr>
                <w:ilvl w:val="0"/>
                <w:numId w:val="1"/>
              </w:numPr>
              <w:tabs>
                <w:tab w:val="left" w:pos="420"/>
              </w:tabs>
              <w:ind w:firstLineChars="0"/>
              <w:rPr>
                <w:rFonts w:eastAsia="仿宋_GB2312"/>
                <w:sz w:val="28"/>
              </w:rPr>
            </w:pPr>
            <w:bookmarkStart w:id="0" w:name="OLE_LINK1"/>
            <w:bookmarkStart w:id="1" w:name="_Hlk185844902"/>
            <w:r>
              <w:rPr>
                <w:rFonts w:hint="eastAsia" w:eastAsia="仿宋_GB2312"/>
                <w:sz w:val="28"/>
              </w:rPr>
              <w:t>目的意义和国内外研究概况</w:t>
            </w:r>
          </w:p>
          <w:p w14:paraId="03388DF2">
            <w:pPr>
              <w:numPr>
                <w:ilvl w:val="0"/>
                <w:numId w:val="2"/>
              </w:numPr>
              <w:tabs>
                <w:tab w:val="left" w:pos="420"/>
              </w:tabs>
              <w:ind w:firstLineChars="0"/>
              <w:rPr>
                <w:rFonts w:eastAsia="仿宋_GB2312"/>
                <w:b/>
                <w:bCs/>
                <w:sz w:val="28"/>
              </w:rPr>
            </w:pPr>
            <w:r>
              <w:rPr>
                <w:rFonts w:hint="eastAsia" w:eastAsia="仿宋_GB2312"/>
                <w:b/>
                <w:bCs/>
                <w:sz w:val="28"/>
              </w:rPr>
              <w:t>目的意义</w:t>
            </w:r>
          </w:p>
          <w:p w14:paraId="2BAA1EA2">
            <w:pPr>
              <w:ind w:firstLine="480"/>
              <w:rPr>
                <w:rFonts w:hint="eastAsia" w:ascii="宋体" w:hAnsi="宋体" w:cs="宋体"/>
                <w:szCs w:val="32"/>
              </w:rPr>
            </w:pPr>
            <w:r>
              <w:rPr>
                <w:rFonts w:hint="eastAsia" w:ascii="宋体" w:hAnsi="宋体" w:cs="宋体"/>
                <w:szCs w:val="32"/>
              </w:rPr>
              <w:t>在1959年美国Unimation公司生产出了世界上第一台工业机器人。历经数十年的发展，机器人在现代制造业中的应用越来越普及。2013年中国工业机器人销量为3.65万台，在2018年中国工业机器人市场销量已达15.6万台，年销量连续6年位居世界首位。现如今，工业机器人在制造业中，如焊接、涂装、码垛、产品检测等方面都有广泛应用，可以作为衡量一个国家科技水平和制造实力的标准[1-3]。</w:t>
            </w:r>
          </w:p>
          <w:p w14:paraId="3865FCA7">
            <w:pPr>
              <w:ind w:firstLine="480"/>
              <w:rPr>
                <w:rFonts w:hint="eastAsia" w:ascii="宋体" w:hAnsi="宋体" w:cs="宋体"/>
                <w:szCs w:val="32"/>
              </w:rPr>
            </w:pPr>
            <w:r>
              <w:rPr>
                <w:rFonts w:hint="eastAsia" w:ascii="宋体" w:hAnsi="宋体" w:cs="宋体"/>
                <w:szCs w:val="32"/>
              </w:rPr>
              <w:t>在许多工业应用中，工业机器人经常用于执行拾取和放置物体的任务[4]，但是这种拾取放置不同于装配任务，并不保证拾取物体后的放置精度，因此虽然己有工业机器人在装配领域中的应用，但仍面临两个问题：第一个问题是无法适应工作对象变换，在工作过程中，工业机器人一般通过离线编程或者示教的方式进行路径规划和运动编程，只能重复预先设置好的动作[5]。这样的工作机制使得工业机器人面对多种类和位姿不确定的工件无法做出适应性的改变，缺乏灵活性，无法完成更加复杂的任务；第二个问题是精度，工业机器人在抓取到工件后，无法保证每次工件相对于机器人末端的位姿都相同，且抓取的精度一般无法满足装配的需求。</w:t>
            </w:r>
          </w:p>
          <w:p w14:paraId="3B9A6E4E">
            <w:pPr>
              <w:ind w:firstLine="480"/>
              <w:rPr>
                <w:rFonts w:hint="eastAsia" w:ascii="宋体" w:hAnsi="宋体" w:cs="宋体"/>
                <w:color w:val="FF0000"/>
                <w:szCs w:val="32"/>
              </w:rPr>
            </w:pPr>
            <w:r>
              <w:rPr>
                <w:rFonts w:hint="eastAsia" w:ascii="宋体" w:hAnsi="宋体" w:cs="宋体"/>
                <w:szCs w:val="32"/>
              </w:rPr>
              <w:t>机器视觉模拟人类视觉感知功能，获取环境图像，通过计算机对视觉信息进行处理，达到通过数字图像提取周围环境信息的功能。伴随机器视觉领域的不断进步，机器视觉与工业机器人的结合愈发紧密，相较于传统的机器人示教与离线编程的工作方式，机器视觉系统可以从工作环境中采集到的图像分析处理提取信息，并且可以对空间尺寸进行精确测量和定位，进而反馈给机器人，引导机器人进行相关操作，是机器人装配任务中的两大问题的有效解决手段[6]。</w:t>
            </w:r>
          </w:p>
          <w:bookmarkEnd w:id="0"/>
          <w:p w14:paraId="2E8685CC">
            <w:pPr>
              <w:ind w:left="200" w:firstLine="0" w:firstLineChars="0"/>
              <w:rPr>
                <w:rFonts w:eastAsia="仿宋_GB2312"/>
                <w:b/>
                <w:bCs/>
                <w:sz w:val="28"/>
              </w:rPr>
            </w:pPr>
            <w:r>
              <w:rPr>
                <w:rFonts w:hint="eastAsia" w:eastAsia="仿宋_GB2312"/>
                <w:b/>
                <w:bCs/>
                <w:sz w:val="28"/>
              </w:rPr>
              <w:t>2.国内外研究现状</w:t>
            </w:r>
          </w:p>
          <w:p w14:paraId="79C7A651">
            <w:pPr>
              <w:ind w:firstLine="0" w:firstLineChars="0"/>
              <w:rPr>
                <w:rFonts w:eastAsia="仿宋_GB2312"/>
                <w:b/>
                <w:bCs/>
              </w:rPr>
            </w:pPr>
            <w:r>
              <w:rPr>
                <w:rFonts w:hint="eastAsia" w:eastAsia="仿宋_GB2312"/>
                <w:b/>
                <w:bCs/>
              </w:rPr>
              <w:t>2.1机器视觉在装配生产线国内外研究现状</w:t>
            </w:r>
          </w:p>
          <w:p w14:paraId="7B446F01">
            <w:pPr>
              <w:ind w:firstLine="480"/>
              <w:rPr>
                <w:rFonts w:hint="eastAsia" w:ascii="宋体" w:hAnsi="宋体" w:cs="宋体"/>
                <w:szCs w:val="32"/>
              </w:rPr>
            </w:pPr>
            <w:r>
              <w:rPr>
                <w:rFonts w:hint="eastAsia" w:ascii="宋体" w:hAnsi="宋体" w:cs="宋体"/>
                <w:szCs w:val="32"/>
              </w:rPr>
              <w:t>国外的各大机器人生产厂商对机器人视觉技术进行了广泛的研究，并在最新研发的工业机器人中加入了视觉引导系统。其中德国的KUKA机器人公司为宝马汽车公司开发了一套整车自动化装配生产线，通过ISRA视觉定位系统对整车精准定位，引导工业机器人自动完成装配任务，大大提高了装配效率。著名机器人制造公司ABB研究出TrueView视觉引导机器人系统，该系统将ABB工业机器人、摄像机和各类照明组件以及eVisionFactory软件平台整合于一体，并且具有工件学习和自动校准功能。日本的EPSON公司研发了六自由度机械臂快速分拣系统，该系统利用流水线上固定安装的摄像机对目标识别定位，引导机器人进行抓取分类</w:t>
            </w:r>
            <w:r>
              <w:rPr>
                <w:rFonts w:hint="eastAsia" w:ascii="宋体" w:hAnsi="宋体" w:cs="宋体"/>
                <w:szCs w:val="32"/>
                <w:vertAlign w:val="superscript"/>
              </w:rPr>
              <w:t>[7-10]</w:t>
            </w:r>
            <w:r>
              <w:rPr>
                <w:rFonts w:hint="eastAsia" w:ascii="宋体" w:hAnsi="宋体" w:cs="宋体"/>
                <w:szCs w:val="32"/>
              </w:rPr>
              <w:t>。</w:t>
            </w:r>
          </w:p>
          <w:p w14:paraId="0B6363B1">
            <w:pPr>
              <w:ind w:firstLine="480"/>
            </w:pPr>
            <w:r>
              <w:rPr>
                <w:rFonts w:hint="eastAsia"/>
              </w:rPr>
              <w:t>黄良武开展了康耐视视觉相机、GE-FANUC PLC和FANUC伺服等系统协同作业在发动机装配自动化中的应用，针对调试过程中出现的检测对象成像偏差大、识别率低的问题，设计了一种多模型识别程序，通过多组检测模型比较并取最优值，极大提高了螺栓位置的检测准确率，完成了对发动机离合器螺栓拧紧设备的全自动化改造[11]。</w:t>
            </w:r>
          </w:p>
          <w:p w14:paraId="7EF4272F">
            <w:pPr>
              <w:ind w:firstLine="480"/>
            </w:pPr>
            <w:r>
              <w:rPr>
                <w:rFonts w:hint="eastAsia"/>
              </w:rPr>
              <w:t>张磊针对视觉技术在传动箱自动化作业中应用进行了探索，搭建了视觉试验系统，通过试验发现视觉系统能够清晰的分辨出零件轮廓线，增加相机分辨率后，能够准确判断出各个特征，点的位置坐标，进而得出视觉系统可以作为辅助手段在自动化装配中进行应用。同时，以典型传动箱为对象开展了基于视觉系统的传动箱自动上下料探索，明确了系统组成，为基于视觉系统自动上下料实现提供了参考。得出机器视觉作为辅助手段能够实现零件位姿和外形自动识别，进而提高自动化设备柔性，提升作业效率[12]。</w:t>
            </w:r>
          </w:p>
          <w:p w14:paraId="77902484">
            <w:pPr>
              <w:ind w:firstLine="0" w:firstLineChars="0"/>
              <w:rPr>
                <w:rFonts w:eastAsia="仿宋_GB2312"/>
                <w:b/>
                <w:bCs/>
              </w:rPr>
            </w:pPr>
            <w:r>
              <w:rPr>
                <w:rFonts w:hint="eastAsia" w:eastAsia="仿宋_GB2312"/>
                <w:b/>
                <w:bCs/>
              </w:rPr>
              <w:t>2.2双机器人协调控制国内外研究现状</w:t>
            </w:r>
          </w:p>
          <w:p w14:paraId="6FD5D243">
            <w:pPr>
              <w:ind w:firstLine="480"/>
            </w:pPr>
            <w:r>
              <w:t xml:space="preserve">Xuefei Liu, Xiangrong Xu </w:t>
            </w:r>
            <w:r>
              <w:rPr>
                <w:rFonts w:hint="eastAsia"/>
              </w:rPr>
              <w:t>提出了一种基于改进滑模阻抗控制器（MSMIC（tanh））的双机械臂控制算法。首先建立了双机械臂的组合运动学方程和结合操作对象的统一动力学模型；然后根据对象的阻抗控制运动模型获得期望的关节角加速度，并引入基于双曲正切函数作为切换函数的滑模控制器来设计双机械臂的协调控制策略，通过李雅普诺夫函数理论证明了所设计控制器的稳定性和收敛性；最后在模拟实验环境中进行了双机械臂协调运输目标物体的操作任务，该控制方案能够稳定输出所需内力，实现高精度轨迹跟踪效果，同时减少了传统滑模控制算法产生的周期性扭矩和关节抖动幅度[13]。</w:t>
            </w:r>
          </w:p>
          <w:p w14:paraId="78F04D59">
            <w:pPr>
              <w:ind w:firstLine="480"/>
            </w:pPr>
            <w:r>
              <w:t>Shuji Yang</w:t>
            </w:r>
            <w:r>
              <w:rPr>
                <w:rFonts w:hint="eastAsia"/>
              </w:rPr>
              <w:t>提出了一种用于双机械臂空间机器人捕获空间目标的协调控制方案。机器人系统由基座、用于捕获的任务臂和用于消除对基座干扰力的平衡臂组成。为了抵消结构振动的影响，提出了包含振动控制阶段和目标捕获阶段的两阶段策略。在第一阶段，将机器人和结构视为质量 - 弹簧系统，利用机器人与柔性结构之间的耦合效应来抑制结构振动，通过速度不等式约束实现双臂之间的碰撞避免，其中利用了无反应运动。在第二阶段，为任务臂规划无反应轨迹以到达目标位置和姿态，同时平衡臂消除对基座的耦合干扰。之后，平衡臂成为新的任务臂进行捕获，另一臂则定义为新的平衡臂。最后通过数值模拟验证了所提出的协调控制策略的有效性[14]。</w:t>
            </w:r>
          </w:p>
          <w:p w14:paraId="35D436A9">
            <w:pPr>
              <w:ind w:firstLine="480"/>
            </w:pPr>
            <w:r>
              <w:rPr>
                <w:rFonts w:hint="eastAsia"/>
              </w:rPr>
              <w:t>柳峻达、李波等针对自动化装配中由于产品制造、装夹和系统标定等多元累计误差造成的机器人加工位置不确定问题，提出基于线扫描仪双级模板匹配的基准特征识别和双机器人定位补偿算法。设计末端基准检测模块，实现基准孔点云获取：通过点云预处理、模板构建和双级模板匹配实现基准孔特征识别，确定圆心坐标针对机翼中不同加工序列，利用直线式局部基准和四点式全局基准补偿方法实现双机器人协同位置补偿。针对系统基准检测精度和位置补偿效果进行验证试验。试验结果显示：系统基准检测精度达到0.048mm,基准补偿后加工点位置精度提升了82.79%，满足机翼装配的精度指标[15]。</w:t>
            </w:r>
          </w:p>
          <w:p w14:paraId="2941B774">
            <w:pPr>
              <w:ind w:firstLine="480"/>
            </w:pPr>
            <w:r>
              <w:rPr>
                <w:rFonts w:hint="eastAsia"/>
              </w:rPr>
              <w:t>为了解决以传统人工示教方式确定双机械臂协作装配位置的局限性和随机性，以双机械臂轴孔协调装配为工程背景，王天瑞、陶平针对协作装配过程中机械臂的整体运动灵活性和轨迹规划，采用粒子群算法进行多次寻优，求解整体全局灵活性最优的装配位置，并基于最优位置进行了多目标轨迹优化。分析了双机械臂协调装配过程中的运动约束关系，以可操作度为灵活性评价指标，提出了双机械臂协作装配系统的可操作度评价方法，以此构建优化目标函数，采用粒子群算法，在双机械臂协作空间中求取系统全局可操作度最优的装配位置；基于灵活性最优位置，采用多目标粒子群算法，以时间、能耗、冲击为目标进行了轨迹优化[16]。</w:t>
            </w:r>
          </w:p>
          <w:p w14:paraId="5927B09C">
            <w:pPr>
              <w:ind w:firstLine="0" w:firstLineChars="0"/>
              <w:rPr>
                <w:rFonts w:eastAsia="仿宋_GB2312"/>
                <w:b/>
                <w:bCs/>
              </w:rPr>
            </w:pPr>
            <w:r>
              <w:rPr>
                <w:rFonts w:hint="eastAsia" w:eastAsia="仿宋_GB2312"/>
                <w:b/>
                <w:bCs/>
              </w:rPr>
              <w:t>2.3机器视觉与双机器人融合控制国内外研究现状</w:t>
            </w:r>
          </w:p>
          <w:p w14:paraId="62AF37D9">
            <w:pPr>
              <w:ind w:firstLine="480"/>
              <w:rPr>
                <w:rFonts w:hint="eastAsia" w:ascii="宋体" w:hAnsi="宋体" w:cs="宋体"/>
                <w:szCs w:val="32"/>
              </w:rPr>
            </w:pPr>
            <w:r>
              <w:rPr>
                <w:rFonts w:hint="eastAsia"/>
              </w:rPr>
              <w:t>机器视觉与双机器人融合控制是当前智能制造领域的一个重要研究方向，国内外学者在该领域进行了广泛而深入的研究。</w:t>
            </w:r>
          </w:p>
          <w:p w14:paraId="76FE5E3D">
            <w:pPr>
              <w:ind w:firstLine="480"/>
              <w:rPr>
                <w:rFonts w:hint="eastAsia" w:ascii="宋体" w:hAnsi="宋体" w:cs="宋体"/>
                <w:szCs w:val="32"/>
              </w:rPr>
            </w:pPr>
            <w:r>
              <w:rPr>
                <w:rFonts w:ascii="宋体" w:hAnsi="宋体" w:cs="宋体"/>
                <w:szCs w:val="32"/>
              </w:rPr>
              <w:t>在国外工业生产中，双机器人协调控制系统的设计旨在改善单个工业机器人的不足，提高生产效率。以双机器人协调搬运为例，有研究以两台 ABB - IRB120 为研究对象，PLC 为中间处理器，触摸屏为控制面板，设计了双机器人协调控制系统。在RobotStudio中建立双机器人协调搬运工作站，进行了双机器人协调搬运的仿真模拟。通过实验室现有设备搭建的双机器人协调控制系统，能够通过触摸屏操作双机器人协调运动。该系统运行稳定，能满足实际生产要求。</w:t>
            </w:r>
            <w:r>
              <w:rPr>
                <w:rFonts w:hint="eastAsia" w:ascii="宋体" w:hAnsi="宋体" w:cs="宋体"/>
                <w:szCs w:val="32"/>
              </w:rPr>
              <w:t>[17]。</w:t>
            </w:r>
          </w:p>
          <w:p w14:paraId="17724545">
            <w:pPr>
              <w:ind w:firstLine="480"/>
              <w:rPr>
                <w:rFonts w:hint="eastAsia" w:ascii="宋体" w:hAnsi="宋体" w:cs="宋体"/>
                <w:szCs w:val="32"/>
              </w:rPr>
            </w:pPr>
            <w:r>
              <w:rPr>
                <w:rFonts w:ascii="宋体" w:hAnsi="宋体" w:cs="宋体"/>
                <w:szCs w:val="32"/>
              </w:rPr>
              <w:t>在爱沙尼亚塔林理工大学的 IVAR 实验室 DT 系统中，实现了欧姆龙 TM5 - 9000 协作工业机器人的集成。通过使用 Unity3D 游戏引擎并为特定机器开发 ROS 包，将协作机器人的数字模型集成到现有的数字孪生中。通过 MQTT 协议与真实的对应物进行同步，同时在 Unity 中开发机器人用户界面，提供机器人关节可视化和远程控制</w:t>
            </w:r>
            <w:r>
              <w:rPr>
                <w:rFonts w:hint="eastAsia" w:ascii="宋体" w:hAnsi="宋体" w:cs="宋体"/>
                <w:szCs w:val="32"/>
              </w:rPr>
              <w:t>[18]。</w:t>
            </w:r>
          </w:p>
          <w:p w14:paraId="15D82C54">
            <w:pPr>
              <w:ind w:firstLine="480"/>
              <w:rPr>
                <w:rFonts w:hint="eastAsia" w:ascii="宋体" w:hAnsi="宋体" w:cs="宋体"/>
                <w:szCs w:val="32"/>
              </w:rPr>
            </w:pPr>
            <w:r>
              <w:rPr>
                <w:rFonts w:ascii="宋体" w:hAnsi="宋体" w:cs="宋体"/>
                <w:szCs w:val="32"/>
              </w:rPr>
              <w:t>瑞典斯德哥尔摩大学和沃尔沃 GTO 合作的项目中，研究了在协作机器人上实现机器视觉的可行性和益处。该项目旨在通过在协作机器人上安装视觉系统来提高发动机框架胶合的质量保证，并探讨协作机器人是否可以执行其他任务。最终结果表明，特定型号的协作机器人（UR10e）可以与机器视觉配合使用，但基于人工智能的机器视觉解决方案需要进一步开发和训练才能在工业中发挥作用</w:t>
            </w:r>
            <w:r>
              <w:rPr>
                <w:rFonts w:hint="eastAsia" w:ascii="宋体" w:hAnsi="宋体" w:cs="宋体"/>
                <w:szCs w:val="32"/>
              </w:rPr>
              <w:t>[19]。</w:t>
            </w:r>
          </w:p>
          <w:p w14:paraId="21295833">
            <w:pPr>
              <w:ind w:firstLine="480"/>
              <w:rPr>
                <w:rFonts w:hint="eastAsia" w:ascii="宋体" w:hAnsi="宋体" w:cs="宋体"/>
                <w:szCs w:val="32"/>
              </w:rPr>
            </w:pPr>
            <w:r>
              <w:rPr>
                <w:rFonts w:ascii="宋体" w:hAnsi="宋体" w:cs="宋体"/>
                <w:szCs w:val="32"/>
              </w:rPr>
              <w:t>国内以贝加莱（BR）公司设计的 Tripod 并联机器人为对象，主要研究了三自由度机器人的视觉识别、轨迹规划和运动控制等问题。设计了基于LabVIEW的Tripod机器人视觉系统，建立了 Tripod 并联机器人的运动学和动力学模型，进行了 Tripod 机器人工作空间分析和末端轨迹规划，利用基于李雅普洛夫稳定的自适应控制算法对 Tripod 机器人进行了位置跟踪</w:t>
            </w:r>
            <w:r>
              <w:rPr>
                <w:rFonts w:hint="eastAsia" w:ascii="宋体" w:hAnsi="宋体" w:cs="宋体"/>
                <w:szCs w:val="32"/>
              </w:rPr>
              <w:t>[20]。</w:t>
            </w:r>
          </w:p>
          <w:p w14:paraId="4A297385">
            <w:pPr>
              <w:ind w:firstLine="480"/>
              <w:rPr>
                <w:rFonts w:hint="eastAsia" w:ascii="宋体" w:hAnsi="宋体" w:cs="宋体"/>
                <w:szCs w:val="32"/>
              </w:rPr>
            </w:pPr>
            <w:r>
              <w:rPr>
                <w:rFonts w:hint="eastAsia" w:ascii="宋体" w:hAnsi="宋体" w:cs="宋体"/>
                <w:szCs w:val="32"/>
              </w:rPr>
              <w:t>浙江大学的研究人员致力于机器视觉与双机器人在智能物流领域的协调应用研究。他们开发了一种基于视觉的双机器人智能分拣系统，利用机器视觉技术识别货物的种类、形状和位置，双机器人在视觉信息的驱动下协同完成货物的分拣任务。通过优化视觉算法和机器人控制策略，提高了分拣系统的效率和准确性，为智能物流的发展提供了技术支持</w:t>
            </w:r>
            <w:commentRangeStart w:id="0"/>
            <w:r>
              <w:rPr>
                <w:rFonts w:hint="eastAsia" w:ascii="宋体" w:hAnsi="宋体" w:cs="宋体"/>
                <w:szCs w:val="32"/>
              </w:rPr>
              <w:t xml:space="preserve"> [21]</w:t>
            </w:r>
            <w:commentRangeEnd w:id="0"/>
            <w:r>
              <w:commentReference w:id="0"/>
            </w:r>
            <w:r>
              <w:rPr>
                <w:rFonts w:hint="eastAsia" w:ascii="宋体" w:hAnsi="宋体" w:cs="宋体"/>
                <w:szCs w:val="32"/>
              </w:rPr>
              <w:t>。</w:t>
            </w:r>
          </w:p>
          <w:p w14:paraId="33418ABC">
            <w:pPr>
              <w:ind w:firstLine="480"/>
              <w:rPr>
                <w:rFonts w:hint="eastAsia" w:ascii="宋体" w:hAnsi="宋体" w:cs="宋体"/>
                <w:szCs w:val="32"/>
              </w:rPr>
            </w:pPr>
            <w:r>
              <w:rPr>
                <w:rFonts w:ascii="宋体" w:hAnsi="宋体" w:cs="宋体"/>
                <w:szCs w:val="32"/>
              </w:rPr>
              <w:t>国内研究中，通过设计特定的视觉检测方案，提高了对并联机器人位姿检测的精度。例如，设计用于视觉检测的矩形标记物，并结合 PNP 位姿检测算法提</w:t>
            </w:r>
            <w:commentRangeStart w:id="1"/>
            <w:r>
              <w:rPr>
                <w:rFonts w:ascii="宋体" w:hAnsi="宋体" w:cs="宋体"/>
                <w:szCs w:val="32"/>
              </w:rPr>
              <w:t>出并联机器人位姿检测的总体方案。这种方法能够自动判断矩形标记物特征点的所在区域，结合特征点的检测和匹配，实现对矩形标记物特征的识别，从而提高了位姿检测的精度</w:t>
            </w:r>
            <w:r>
              <w:rPr>
                <w:rFonts w:hint="eastAsia" w:ascii="宋体" w:hAnsi="宋体" w:cs="宋体"/>
                <w:szCs w:val="32"/>
              </w:rPr>
              <w:t>[22]。</w:t>
            </w:r>
          </w:p>
          <w:p w14:paraId="5F2EC752">
            <w:pPr>
              <w:ind w:firstLine="0" w:firstLineChars="0"/>
              <w:rPr>
                <w:rFonts w:eastAsia="仿宋_GB2312"/>
                <w:b/>
                <w:bCs/>
              </w:rPr>
            </w:pPr>
            <w:r>
              <w:rPr>
                <w:rFonts w:hint="eastAsia" w:eastAsia="仿宋_GB2312"/>
                <w:b/>
                <w:bCs/>
              </w:rPr>
              <w:t>2.4总结对比分析</w:t>
            </w:r>
            <w:bookmarkEnd w:id="1"/>
          </w:p>
          <w:p w14:paraId="4C64F052">
            <w:pPr>
              <w:ind w:firstLine="482"/>
              <w:rPr>
                <w:b/>
                <w:bCs/>
              </w:rPr>
            </w:pPr>
            <w:r>
              <w:rPr>
                <w:rFonts w:hint="eastAsia"/>
                <w:b/>
                <w:bCs/>
              </w:rPr>
              <w:t>2.4.1只</w:t>
            </w:r>
            <w:r>
              <w:rPr>
                <w:b/>
                <w:bCs/>
              </w:rPr>
              <w:t>结合视觉，不采用双机器人的缺陷及问题分析</w:t>
            </w:r>
          </w:p>
          <w:p w14:paraId="3F8FD1A9">
            <w:pPr>
              <w:tabs>
                <w:tab w:val="left" w:pos="720"/>
              </w:tabs>
              <w:ind w:firstLine="480"/>
            </w:pPr>
            <w:r>
              <w:rPr>
                <w:rFonts w:hint="eastAsia"/>
              </w:rPr>
              <w:t>（1）</w:t>
            </w:r>
            <w:r>
              <w:t>效率局限：单机器人在面对复杂装配任务或大规模生产时，即使配备视觉系统，其作业效率仍相对受限。例如在大型零部件的搬运与装配过程中，单机器人可能因负载能力和工作范围的限制，需要多次往返或进行复杂的位姿调整，导致整体生产节拍延长。</w:t>
            </w:r>
          </w:p>
          <w:p w14:paraId="0B6B10F2">
            <w:pPr>
              <w:ind w:firstLine="480"/>
            </w:pPr>
            <w:r>
              <w:rPr>
                <w:rFonts w:hint="eastAsia"/>
              </w:rPr>
              <w:t>（2）</w:t>
            </w:r>
            <w:r>
              <w:t>灵活性不足：对于形状复杂、位姿多变且需要多方位操作的工件，单机器人难以在同一时间内从多个角度进行精确处理。例如在一些精密电子设备的装配中，可能需要同时对多个微小零部件进行不同方向的装配操作，单机器人无法像双机器人那样实现多角度协同作业，灵活性欠佳。</w:t>
            </w:r>
          </w:p>
          <w:p w14:paraId="33F3278B">
            <w:pPr>
              <w:ind w:firstLine="480"/>
            </w:pPr>
            <w:r>
              <w:rPr>
                <w:rFonts w:hint="eastAsia"/>
              </w:rPr>
              <w:t>（3）</w:t>
            </w:r>
            <w:r>
              <w:t>任务复杂性应对能力弱：当面临多任务并行且任务之间存在复杂逻辑关系的生产场景时，单机器人的任务处理能力有限。例如在汽车发动机的装配线上，同时有零部件的分拣、预装配、精装配等多种任务，单机器人难以高效地在不同任务之间切换并保证各任务的连贯性和准确性，而双机器人可以通过合理的任务分配和协作更好地应对。</w:t>
            </w:r>
          </w:p>
          <w:p w14:paraId="1E54C3A2">
            <w:pPr>
              <w:ind w:firstLine="482"/>
              <w:rPr>
                <w:b/>
                <w:bCs/>
              </w:rPr>
            </w:pPr>
            <w:r>
              <w:rPr>
                <w:rFonts w:hint="eastAsia"/>
                <w:b/>
                <w:bCs/>
              </w:rPr>
              <w:t>2.4.2只</w:t>
            </w:r>
            <w:r>
              <w:rPr>
                <w:b/>
                <w:bCs/>
              </w:rPr>
              <w:t>采用双机器人的缺陷及问题分析</w:t>
            </w:r>
          </w:p>
          <w:p w14:paraId="34794848">
            <w:pPr>
              <w:ind w:firstLine="480"/>
            </w:pPr>
            <w:r>
              <w:rPr>
                <w:rFonts w:hint="eastAsia"/>
              </w:rPr>
              <w:t>（1）环境适应性差：在复杂多变的装配环境中，双机器人缺乏机器视觉的感知能力，难以准确识别和适应环境中的各种变化。对于工作场景中的临时障碍物或意外出现的物体，双机器人难以快速察觉并做出相应的避障策略。由于没有视觉系统提供实时的环境信息，机器人只能依靠预先设定的固定路径和有限的传感器反馈进行运动规划，一旦遇到未知障碍物，可能无法及时调整运动轨迹，从而引发碰撞损坏机器人或装配设备，造成生产中断和经济损失。</w:t>
            </w:r>
          </w:p>
          <w:p w14:paraId="4588A756">
            <w:pPr>
              <w:ind w:firstLine="480"/>
            </w:pPr>
            <w:r>
              <w:rPr>
                <w:rFonts w:hint="eastAsia"/>
              </w:rPr>
              <w:t>（2）零件识别与定位精度低：双机器人在没有机器视觉辅助的情况下，难以对不同种类、形状和尺寸的零件进行精准识别和定位。在自动化装配生产线中，通常需要处理大量多样化的零件，如果仅依靠机器人内部的位置传感器和预先编程的运动轨迹，无法准确确定零件的具体位置和姿态信息。即使在一些相对简单的装配任务中，机器人通过示教再现或离线编程方式确定了零件的大致位置，但由于机械结构的误差积累、工装夹具的磨损以及零件在传输过程中的微小位移等因素，机器人在实际操作时仍会出现定位偏差。这种偏差随着装配任务的进行可能会逐渐累积，导致装配精度无法满足产品要求，最终影响产品的性能和可靠性。</w:t>
            </w:r>
          </w:p>
          <w:p w14:paraId="5BB404DC">
            <w:pPr>
              <w:ind w:firstLine="480"/>
            </w:pPr>
            <w:r>
              <w:rPr>
                <w:rFonts w:hint="eastAsia"/>
              </w:rPr>
              <w:t>（3）缺乏信息反馈：当装配过程中出现异常情况，如零件缺失、损坏或装配位置错误时，双机器人由于缺乏视觉信息的辅助，无法及时发现问题并采取有效的纠正措施。这可能导致整个装配流程继续进行，最终生产出不合格的产品。而机器视觉系统能够实时监测装配过程中的各个环节，及时发现异常并向机器人控制系统发送信号，使机器人能够停止操作或进行相应的调整，提高装配过程的智能化水平和可靠性。</w:t>
            </w:r>
          </w:p>
          <w:p w14:paraId="3CC76B80">
            <w:pPr>
              <w:ind w:firstLine="480"/>
              <w:rPr>
                <w:rFonts w:hint="eastAsia"/>
              </w:rPr>
            </w:pPr>
            <w:r>
              <w:rPr>
                <w:rFonts w:hint="eastAsia"/>
              </w:rPr>
              <w:t>综上所述，</w:t>
            </w:r>
            <w:r>
              <w:t>机器视觉与双机器人相结合的装配系统具有诸多显著优点</w:t>
            </w:r>
            <w:r>
              <w:rPr>
                <w:rFonts w:hint="eastAsia"/>
              </w:rPr>
              <w:t>，</w:t>
            </w:r>
            <w:r>
              <w:t>机器视觉赋予系统强大的环境感知能力，双机器人借助视觉系统可以实时监测装配</w:t>
            </w:r>
            <w:r>
              <w:rPr>
                <w:rFonts w:hint="eastAsia"/>
              </w:rPr>
              <w:t>区域的环境变化；并且</w:t>
            </w:r>
            <w:r>
              <w:t>能够对不同种类、形状和尺寸的零件进行精准识别与定位</w:t>
            </w:r>
            <w:r>
              <w:rPr>
                <w:rFonts w:hint="eastAsia"/>
              </w:rPr>
              <w:t>；</w:t>
            </w:r>
            <w:r>
              <w:t>在装配过程中，双机器人借助机器视觉对装配质量进行实时监控和评估，从而做出智能决策</w:t>
            </w:r>
            <w:r>
              <w:rPr>
                <w:rFonts w:hint="eastAsia"/>
              </w:rPr>
              <w:t>；</w:t>
            </w:r>
            <w:r>
              <w:t>机器视觉与双机器人的协同作用</w:t>
            </w:r>
            <w:r>
              <w:rPr>
                <w:rFonts w:hint="eastAsia"/>
              </w:rPr>
              <w:t>可以</w:t>
            </w:r>
            <w:r>
              <w:t>显著提高装配精度和质量控制水平，</w:t>
            </w:r>
            <w:r>
              <w:rPr>
                <w:rFonts w:hint="eastAsia"/>
              </w:rPr>
              <w:t>从而提升加工效率</w:t>
            </w:r>
            <w:r>
              <w:t>。</w:t>
            </w:r>
          </w:p>
          <w:p w14:paraId="74742AD5">
            <w:pPr>
              <w:ind w:firstLine="562"/>
              <w:rPr>
                <w:rFonts w:eastAsia="仿宋_GB2312"/>
                <w:b/>
                <w:bCs/>
                <w:sz w:val="28"/>
              </w:rPr>
            </w:pPr>
            <w:r>
              <w:rPr>
                <w:rFonts w:hint="eastAsia" w:eastAsia="仿宋_GB2312"/>
                <w:b/>
                <w:bCs/>
                <w:sz w:val="28"/>
              </w:rPr>
              <w:t>参考文献</w:t>
            </w:r>
            <w:commentRangeEnd w:id="1"/>
            <w:r>
              <w:commentReference w:id="1"/>
            </w:r>
          </w:p>
          <w:p w14:paraId="492F9D71">
            <w:pPr>
              <w:ind w:firstLine="480"/>
              <w:rPr>
                <w:rFonts w:hint="eastAsia" w:ascii="宋体" w:hAnsi="宋体" w:cs="宋体"/>
                <w:szCs w:val="32"/>
              </w:rPr>
            </w:pPr>
            <w:r>
              <w:rPr>
                <w:rFonts w:hint="eastAsia" w:ascii="宋体" w:hAnsi="宋体" w:cs="宋体"/>
                <w:szCs w:val="32"/>
              </w:rPr>
              <w:t>[1]计时鸣，黄希欢.工业机器人技术的发展与应用综述[J].机电工程，2015,32(01)：1-13.</w:t>
            </w:r>
          </w:p>
          <w:p w14:paraId="21A861BE">
            <w:pPr>
              <w:ind w:firstLine="480"/>
              <w:rPr>
                <w:rFonts w:hint="eastAsia" w:ascii="宋体" w:hAnsi="宋体" w:cs="宋体"/>
                <w:szCs w:val="32"/>
              </w:rPr>
            </w:pPr>
            <w:r>
              <w:rPr>
                <w:rFonts w:hint="eastAsia" w:ascii="宋体" w:hAnsi="宋体" w:cs="宋体"/>
                <w:szCs w:val="32"/>
              </w:rPr>
              <w:t>[2]孟明辉，周传德，陈礼彬，等.工业机器人的研发及应用综述[J].上海交通大学学报，2016,50(S1):98-101.</w:t>
            </w:r>
          </w:p>
          <w:p w14:paraId="348D4138">
            <w:pPr>
              <w:ind w:firstLine="480"/>
              <w:rPr>
                <w:rFonts w:hint="eastAsia" w:ascii="宋体" w:hAnsi="宋体" w:cs="宋体"/>
                <w:szCs w:val="32"/>
              </w:rPr>
            </w:pPr>
            <w:r>
              <w:rPr>
                <w:rFonts w:hint="eastAsia" w:ascii="宋体" w:hAnsi="宋体" w:cs="宋体"/>
                <w:szCs w:val="32"/>
              </w:rPr>
              <w:t>[3]王田苗，陶永·我国工业机器人技术现状与产业化发展战略[J].机械工程学报，2014,50(09)：1-13.</w:t>
            </w:r>
          </w:p>
          <w:p w14:paraId="249C6379">
            <w:pPr>
              <w:ind w:firstLine="480"/>
              <w:rPr>
                <w:rFonts w:hint="eastAsia" w:ascii="宋体" w:hAnsi="宋体" w:cs="宋体"/>
                <w:szCs w:val="32"/>
              </w:rPr>
            </w:pPr>
            <w:r>
              <w:rPr>
                <w:rFonts w:hint="eastAsia" w:ascii="宋体" w:hAnsi="宋体" w:cs="宋体"/>
                <w:szCs w:val="32"/>
              </w:rPr>
              <w:t>[4]Lin CC,Gonzalez P,Cheng M Y,et al.Vision based object grasping of industrial manipulator[C]. 2016 International Conference on Advanced Robotics and Intelligent Systems(ARIS).IEEE,2016: 1-5.</w:t>
            </w:r>
          </w:p>
          <w:p w14:paraId="1A76487F">
            <w:pPr>
              <w:ind w:firstLine="480"/>
              <w:rPr>
                <w:rFonts w:hint="eastAsia" w:ascii="宋体" w:hAnsi="宋体" w:cs="宋体"/>
                <w:szCs w:val="32"/>
              </w:rPr>
            </w:pPr>
            <w:r>
              <w:rPr>
                <w:rFonts w:hint="eastAsia" w:ascii="宋体" w:hAnsi="宋体" w:cs="宋体"/>
                <w:szCs w:val="32"/>
              </w:rPr>
              <w:t>[5]徐德，谭民，李原.机器人视觉测量与控制.第3版[M].北京：国防工业出版，2016.</w:t>
            </w:r>
          </w:p>
          <w:p w14:paraId="079A650D">
            <w:pPr>
              <w:ind w:firstLine="480"/>
              <w:rPr>
                <w:rFonts w:hint="eastAsia" w:ascii="宋体" w:hAnsi="宋体" w:cs="宋体"/>
                <w:szCs w:val="32"/>
              </w:rPr>
            </w:pPr>
            <w:r>
              <w:rPr>
                <w:rFonts w:hint="eastAsia" w:ascii="宋体" w:hAnsi="宋体" w:cs="宋体"/>
                <w:szCs w:val="32"/>
              </w:rPr>
              <w:t>[6]方舟.面向机器人装配的机器视觉工件识别与定位技术研究[D].南京航空航天大学,2020.</w:t>
            </w:r>
          </w:p>
          <w:p w14:paraId="6D70AB5F">
            <w:pPr>
              <w:ind w:firstLine="480"/>
              <w:rPr>
                <w:rFonts w:hint="eastAsia" w:ascii="宋体" w:hAnsi="宋体" w:cs="宋体"/>
                <w:szCs w:val="32"/>
              </w:rPr>
            </w:pPr>
            <w:r>
              <w:rPr>
                <w:rFonts w:ascii="宋体" w:hAnsi="宋体" w:cs="宋体"/>
                <w:szCs w:val="32"/>
              </w:rPr>
              <w:t>[</w:t>
            </w:r>
            <w:r>
              <w:rPr>
                <w:rFonts w:hint="eastAsia" w:ascii="宋体" w:hAnsi="宋体" w:cs="宋体"/>
                <w:szCs w:val="32"/>
              </w:rPr>
              <w:t>7</w:t>
            </w:r>
            <w:r>
              <w:rPr>
                <w:rFonts w:ascii="宋体" w:hAnsi="宋体" w:cs="宋体"/>
                <w:szCs w:val="32"/>
              </w:rPr>
              <w:t>]Alberto Brunete,Ernesto Gambao,Jukka Koskinen,et al.Hard material small-batch industrial machining robot[J].Robotics and Computer Integrated Manufacturing,2018,54:185-199.</w:t>
            </w:r>
          </w:p>
          <w:p w14:paraId="4063441D">
            <w:pPr>
              <w:ind w:firstLine="480"/>
              <w:rPr>
                <w:rFonts w:hint="eastAsia" w:ascii="宋体" w:hAnsi="宋体" w:cs="宋体"/>
                <w:szCs w:val="32"/>
              </w:rPr>
            </w:pPr>
            <w:r>
              <w:rPr>
                <w:rFonts w:ascii="宋体" w:hAnsi="宋体" w:cs="宋体"/>
                <w:szCs w:val="32"/>
              </w:rPr>
              <w:t>[</w:t>
            </w:r>
            <w:r>
              <w:rPr>
                <w:rFonts w:hint="eastAsia" w:ascii="宋体" w:hAnsi="宋体" w:cs="宋体"/>
                <w:szCs w:val="32"/>
              </w:rPr>
              <w:t>8</w:t>
            </w:r>
            <w:r>
              <w:rPr>
                <w:rFonts w:ascii="宋体" w:hAnsi="宋体" w:cs="宋体"/>
                <w:szCs w:val="32"/>
              </w:rPr>
              <w:t>]Md Hazrat Ali,Aizat K,Yerkhan K,Zhandos T,Anuar O.Vision-based Robot Manipulato</w:t>
            </w:r>
            <w:r>
              <w:rPr>
                <w:rFonts w:hint="eastAsia" w:ascii="宋体" w:hAnsi="宋体" w:cs="宋体"/>
                <w:szCs w:val="32"/>
              </w:rPr>
              <w:t>r for Industrial Applications[J].Procedia Computer Science,2018,133:205-212.</w:t>
            </w:r>
          </w:p>
          <w:p w14:paraId="0508A72F">
            <w:pPr>
              <w:ind w:firstLine="480"/>
              <w:rPr>
                <w:rFonts w:hint="eastAsia" w:ascii="宋体" w:hAnsi="宋体" w:cs="宋体"/>
                <w:szCs w:val="32"/>
              </w:rPr>
            </w:pPr>
            <w:r>
              <w:rPr>
                <w:rFonts w:hint="eastAsia" w:ascii="宋体" w:hAnsi="宋体" w:cs="宋体"/>
                <w:szCs w:val="32"/>
              </w:rPr>
              <w:t>[9]张梦琦.机器视觉识别技术在分拣机器人系统中的应用[D].大连：大连理工大学，2017.</w:t>
            </w:r>
          </w:p>
          <w:p w14:paraId="438E72FB">
            <w:pPr>
              <w:ind w:firstLine="480"/>
              <w:rPr>
                <w:rFonts w:hint="eastAsia" w:ascii="宋体" w:hAnsi="宋体" w:cs="宋体"/>
                <w:szCs w:val="32"/>
              </w:rPr>
            </w:pPr>
            <w:r>
              <w:rPr>
                <w:rFonts w:hint="eastAsia" w:ascii="宋体" w:hAnsi="宋体" w:cs="宋体"/>
                <w:szCs w:val="32"/>
              </w:rPr>
              <w:t>[10]</w:t>
            </w:r>
            <w:r>
              <w:rPr>
                <w:rFonts w:ascii="宋体" w:hAnsi="宋体" w:cs="宋体"/>
                <w:szCs w:val="32"/>
              </w:rPr>
              <w:t>Uhart M,Patrouix O,Aoustin Y.Improving manufacturing of aeronautical parts with an enhanced industrial Robotised Fibre Placement Cell using an external force-vision scheme[J].International Journal on Interactive Design and Manufacturing (IJIDeM),2016,10(1):15-35.</w:t>
            </w:r>
          </w:p>
          <w:p w14:paraId="35B5B815">
            <w:pPr>
              <w:ind w:firstLine="480"/>
              <w:rPr>
                <w:rFonts w:hint="eastAsia" w:ascii="宋体" w:hAnsi="宋体" w:cs="宋体"/>
                <w:szCs w:val="32"/>
              </w:rPr>
            </w:pPr>
            <w:r>
              <w:rPr>
                <w:rFonts w:hint="eastAsia" w:ascii="宋体" w:hAnsi="宋体" w:cs="宋体"/>
                <w:szCs w:val="32"/>
              </w:rPr>
              <w:t>[11]</w:t>
            </w:r>
            <w:r>
              <w:rPr>
                <w:rFonts w:hint="eastAsia" w:ascii="微软雅黑" w:hAnsi="微软雅黑" w:eastAsia="微软雅黑"/>
                <w:color w:val="666666"/>
                <w:sz w:val="18"/>
                <w:szCs w:val="18"/>
                <w:shd w:val="clear" w:color="auto" w:fill="FFFFFF"/>
              </w:rPr>
              <w:t xml:space="preserve"> </w:t>
            </w:r>
            <w:r>
              <w:rPr>
                <w:rFonts w:hint="eastAsia" w:ascii="宋体" w:hAnsi="宋体" w:cs="宋体"/>
                <w:szCs w:val="32"/>
              </w:rPr>
              <w:t>黄良武,王文涛.视觉检测技术在发动机装配线上的应用[J].制造业自动化,2024,46(03):217-220.</w:t>
            </w:r>
          </w:p>
          <w:p w14:paraId="68361CA9">
            <w:pPr>
              <w:ind w:firstLine="480"/>
              <w:rPr>
                <w:rFonts w:hint="eastAsia" w:ascii="宋体" w:hAnsi="宋体" w:cs="宋体"/>
                <w:szCs w:val="32"/>
              </w:rPr>
            </w:pPr>
            <w:commentRangeStart w:id="2"/>
            <w:r>
              <w:rPr>
                <w:rFonts w:hint="eastAsia" w:ascii="宋体" w:hAnsi="宋体" w:cs="宋体"/>
                <w:szCs w:val="32"/>
              </w:rPr>
              <w:t>[12]</w:t>
            </w:r>
            <w:r>
              <w:rPr>
                <w:rFonts w:hint="eastAsia" w:ascii="微软雅黑" w:hAnsi="微软雅黑" w:eastAsia="微软雅黑"/>
                <w:color w:val="666666"/>
                <w:sz w:val="18"/>
                <w:szCs w:val="18"/>
                <w:shd w:val="clear" w:color="auto" w:fill="FFFFFF"/>
              </w:rPr>
              <w:t xml:space="preserve"> </w:t>
            </w:r>
            <w:r>
              <w:rPr>
                <w:rFonts w:hint="eastAsia" w:ascii="宋体" w:hAnsi="宋体" w:cs="宋体"/>
                <w:szCs w:val="32"/>
              </w:rPr>
              <w:t>张磊,马涛,赵宁,等.机器视觉技术在传动箱自动化装配中的应用[J].机电产品开发与创新,2023,36(05):57-59.</w:t>
            </w:r>
          </w:p>
          <w:p w14:paraId="35FBB4EB">
            <w:pPr>
              <w:ind w:firstLine="480"/>
              <w:rPr>
                <w:rFonts w:hint="eastAsia" w:ascii="宋体" w:hAnsi="宋体" w:cs="宋体"/>
                <w:szCs w:val="32"/>
              </w:rPr>
            </w:pPr>
            <w:r>
              <w:rPr>
                <w:rFonts w:hint="eastAsia" w:ascii="宋体" w:hAnsi="宋体" w:cs="宋体"/>
                <w:szCs w:val="32"/>
              </w:rPr>
              <w:t>[13]</w:t>
            </w:r>
            <w:r>
              <w:rPr>
                <w:rFonts w:hint="eastAsia" w:ascii="微软雅黑" w:hAnsi="微软雅黑" w:eastAsia="微软雅黑"/>
                <w:color w:val="666666"/>
                <w:sz w:val="18"/>
                <w:szCs w:val="18"/>
                <w:shd w:val="clear" w:color="auto" w:fill="FFFFFF"/>
              </w:rPr>
              <w:t xml:space="preserve"> </w:t>
            </w:r>
            <w:r>
              <w:rPr>
                <w:rFonts w:hint="eastAsia" w:ascii="宋体" w:hAnsi="宋体" w:cs="宋体"/>
                <w:szCs w:val="32"/>
              </w:rPr>
              <w:t>Xuefei L ,Xiangrong X ,Zuojun Z , et al.Dual-Arm Coordinated Control Strategy Based on Modified Sliding Mode Impedance Controller[J].Sensors,2021,21(14):4653-4653.</w:t>
            </w:r>
            <w:commentRangeEnd w:id="2"/>
            <w:r>
              <w:commentReference w:id="2"/>
            </w:r>
          </w:p>
          <w:p w14:paraId="0E4B49B6">
            <w:pPr>
              <w:ind w:firstLine="480"/>
              <w:rPr>
                <w:rFonts w:hint="eastAsia" w:ascii="宋体" w:hAnsi="宋体" w:cs="宋体"/>
                <w:szCs w:val="32"/>
              </w:rPr>
            </w:pPr>
            <w:r>
              <w:rPr>
                <w:rFonts w:hint="eastAsia" w:ascii="宋体" w:hAnsi="宋体" w:cs="宋体"/>
                <w:szCs w:val="32"/>
              </w:rPr>
              <w:t>[14] Shuji Y ,Yonglei Z ,Hao W , et al.Coordinated control of dual-arm robot on space structure for capturing space targets[J].Advances in Space Research,2023,71(5):2437-2448.</w:t>
            </w:r>
          </w:p>
          <w:p w14:paraId="5A6D39E6">
            <w:pPr>
              <w:ind w:firstLine="480"/>
              <w:rPr>
                <w:rFonts w:hint="eastAsia" w:ascii="宋体" w:hAnsi="宋体" w:cs="宋体"/>
                <w:szCs w:val="32"/>
              </w:rPr>
            </w:pPr>
            <w:r>
              <w:rPr>
                <w:rFonts w:hint="eastAsia" w:ascii="宋体" w:hAnsi="宋体" w:cs="宋体"/>
                <w:szCs w:val="32"/>
              </w:rPr>
              <w:t>[15]</w:t>
            </w:r>
            <w:r>
              <w:rPr>
                <w:rFonts w:hint="eastAsia" w:ascii="微软雅黑" w:hAnsi="微软雅黑" w:eastAsia="微软雅黑"/>
                <w:color w:val="666666"/>
                <w:sz w:val="18"/>
                <w:szCs w:val="18"/>
                <w:shd w:val="clear" w:color="auto" w:fill="FFFFFF"/>
              </w:rPr>
              <w:t xml:space="preserve"> </w:t>
            </w:r>
            <w:r>
              <w:rPr>
                <w:rFonts w:hint="eastAsia" w:ascii="宋体" w:hAnsi="宋体" w:cs="宋体"/>
                <w:szCs w:val="32"/>
              </w:rPr>
              <w:t>柳峻达,李波,田威,等.双机器人基准特征识别与位置补偿技术[J].机械制造与自动化,2024,53(05):224-228.</w:t>
            </w:r>
          </w:p>
          <w:p w14:paraId="5BF76981">
            <w:pPr>
              <w:ind w:firstLine="480"/>
              <w:rPr>
                <w:rFonts w:hint="eastAsia" w:ascii="宋体" w:hAnsi="宋体" w:cs="宋体"/>
                <w:szCs w:val="32"/>
              </w:rPr>
            </w:pPr>
            <w:r>
              <w:rPr>
                <w:rFonts w:hint="eastAsia" w:ascii="宋体" w:hAnsi="宋体" w:cs="宋体"/>
                <w:szCs w:val="32"/>
              </w:rPr>
              <w:t>[16]王天瑞,陶平.双机械臂协作最优装配位置及多目标轨迹优化[J].机械传动,2024,48(01):39-45.</w:t>
            </w:r>
          </w:p>
          <w:p w14:paraId="75112BBC">
            <w:pPr>
              <w:ind w:firstLine="480"/>
              <w:rPr>
                <w:rFonts w:hint="eastAsia" w:ascii="宋体" w:hAnsi="宋体" w:cs="宋体"/>
                <w:szCs w:val="32"/>
              </w:rPr>
            </w:pPr>
            <w:r>
              <w:rPr>
                <w:rFonts w:hint="eastAsia" w:ascii="宋体" w:hAnsi="宋体" w:cs="宋体"/>
                <w:szCs w:val="32"/>
              </w:rPr>
              <w:t>[17]</w:t>
            </w:r>
            <w:r>
              <w:rPr>
                <w:rFonts w:ascii="Segoe UI" w:hAnsi="Segoe UI" w:cs="Segoe UI"/>
                <w:color w:val="1F2329"/>
                <w:sz w:val="27"/>
                <w:szCs w:val="27"/>
                <w:shd w:val="clear" w:color="auto" w:fill="FFFFFF"/>
              </w:rPr>
              <w:t xml:space="preserve"> </w:t>
            </w:r>
            <w:r>
              <w:rPr>
                <w:rFonts w:ascii="宋体" w:hAnsi="宋体" w:cs="宋体"/>
                <w:szCs w:val="32"/>
              </w:rPr>
              <w:t>武永强,于涛. "双机器人协调控制系统设计." 《制造业自动化》 10(2022).</w:t>
            </w:r>
          </w:p>
          <w:p w14:paraId="3903B84C">
            <w:pPr>
              <w:ind w:firstLine="480"/>
              <w:rPr>
                <w:rFonts w:hint="eastAsia" w:ascii="宋体" w:hAnsi="宋体" w:cs="宋体"/>
                <w:szCs w:val="32"/>
              </w:rPr>
            </w:pPr>
            <w:r>
              <w:rPr>
                <w:rFonts w:hint="eastAsia" w:ascii="宋体" w:hAnsi="宋体" w:cs="宋体"/>
                <w:szCs w:val="32"/>
              </w:rPr>
              <w:t>[18]</w:t>
            </w:r>
            <w:r>
              <w:rPr>
                <w:rFonts w:ascii="Segoe UI" w:hAnsi="Segoe UI" w:cs="Segoe UI"/>
                <w:color w:val="1F2329"/>
                <w:sz w:val="27"/>
                <w:szCs w:val="27"/>
                <w:shd w:val="clear" w:color="auto" w:fill="FFFFFF"/>
              </w:rPr>
              <w:t xml:space="preserve"> </w:t>
            </w:r>
            <w:r>
              <w:rPr>
                <w:rFonts w:ascii="宋体" w:hAnsi="宋体" w:cs="宋体"/>
                <w:szCs w:val="32"/>
              </w:rPr>
              <w:t>Danyil Diachenko,Andriy Partyshev,S. Pizzagalli,Yevhen Bondarenko,T. Otto. "Industrial Collaborative Robot Digital Twin integration and Control Using Robot Operating System." Journal of Machine Engineering(2022).</w:t>
            </w:r>
          </w:p>
          <w:p w14:paraId="258A8858">
            <w:pPr>
              <w:ind w:firstLine="480"/>
              <w:rPr>
                <w:rFonts w:hint="eastAsia" w:ascii="宋体" w:hAnsi="宋体" w:cs="宋体"/>
                <w:szCs w:val="32"/>
              </w:rPr>
            </w:pPr>
            <w:r>
              <w:rPr>
                <w:rFonts w:hint="eastAsia" w:ascii="宋体" w:hAnsi="宋体" w:cs="宋体"/>
                <w:szCs w:val="32"/>
              </w:rPr>
              <w:t>[19]</w:t>
            </w:r>
            <w:r>
              <w:rPr>
                <w:rFonts w:ascii="Segoe UI" w:hAnsi="Segoe UI" w:cs="Segoe UI"/>
                <w:color w:val="1F2329"/>
                <w:sz w:val="27"/>
                <w:szCs w:val="27"/>
                <w:shd w:val="clear" w:color="auto" w:fill="FFFFFF"/>
              </w:rPr>
              <w:t xml:space="preserve"> </w:t>
            </w:r>
            <w:r>
              <w:rPr>
                <w:rFonts w:ascii="宋体" w:hAnsi="宋体" w:cs="宋体"/>
                <w:szCs w:val="32"/>
              </w:rPr>
              <w:t>Leidenkrantz, Axel,Westbrandt, Erik. "Implementation of machine vision on a collaborative robot.".</w:t>
            </w:r>
          </w:p>
          <w:p w14:paraId="210C73FE">
            <w:pPr>
              <w:ind w:firstLine="480"/>
              <w:rPr>
                <w:rFonts w:hint="eastAsia" w:ascii="宋体" w:hAnsi="宋体" w:cs="宋体"/>
                <w:szCs w:val="32"/>
              </w:rPr>
            </w:pPr>
            <w:r>
              <w:rPr>
                <w:rFonts w:hint="eastAsia" w:ascii="宋体" w:hAnsi="宋体" w:cs="宋体"/>
                <w:szCs w:val="32"/>
              </w:rPr>
              <w:t>[20]邹杨.基于机器视觉的Tripod机器人控制研究[D].东华大学,2017.</w:t>
            </w:r>
          </w:p>
          <w:p w14:paraId="531FAD54">
            <w:pPr>
              <w:ind w:firstLine="480"/>
              <w:rPr>
                <w:rFonts w:hint="eastAsia" w:ascii="宋体" w:hAnsi="宋体" w:cs="宋体"/>
                <w:szCs w:val="32"/>
              </w:rPr>
            </w:pPr>
            <w:r>
              <w:rPr>
                <w:rFonts w:hint="eastAsia" w:ascii="宋体" w:hAnsi="宋体" w:cs="宋体"/>
                <w:szCs w:val="32"/>
              </w:rPr>
              <w:t>[21]</w:t>
            </w:r>
            <w:r>
              <w:rPr>
                <w:rFonts w:ascii="Segoe UI" w:hAnsi="Segoe UI" w:cs="Segoe UI"/>
                <w:color w:val="1F2329"/>
                <w:sz w:val="27"/>
                <w:szCs w:val="27"/>
                <w:shd w:val="clear" w:color="auto" w:fill="FFFFFF"/>
              </w:rPr>
              <w:t xml:space="preserve"> </w:t>
            </w:r>
            <w:r>
              <w:rPr>
                <w:rFonts w:ascii="宋体" w:hAnsi="宋体" w:cs="宋体"/>
                <w:szCs w:val="32"/>
              </w:rPr>
              <w:t>Jiangchen Wu,Yi Hu,Runqi Zheng,Yishen Xu. "Intelligent Object Sorting Truck System Based on Machine Vision." 2022 7th International Conference on Control and Robotics Engineering (ICCRE)(2022).</w:t>
            </w:r>
          </w:p>
          <w:p w14:paraId="279C13BC">
            <w:pPr>
              <w:ind w:firstLine="480"/>
              <w:rPr>
                <w:rFonts w:hint="eastAsia" w:ascii="宋体" w:hAnsi="宋体" w:cs="宋体"/>
                <w:szCs w:val="32"/>
              </w:rPr>
            </w:pPr>
            <w:r>
              <w:rPr>
                <w:rFonts w:hint="eastAsia" w:ascii="宋体" w:hAnsi="宋体" w:cs="宋体"/>
                <w:szCs w:val="32"/>
              </w:rPr>
              <w:t>[22]</w:t>
            </w:r>
            <w:r>
              <w:rPr>
                <w:rFonts w:hint="eastAsia" w:ascii="微软雅黑" w:hAnsi="微软雅黑" w:eastAsia="微软雅黑"/>
                <w:color w:val="666666"/>
                <w:sz w:val="18"/>
                <w:szCs w:val="18"/>
                <w:shd w:val="clear" w:color="auto" w:fill="FFFFFF"/>
              </w:rPr>
              <w:t xml:space="preserve"> </w:t>
            </w:r>
            <w:r>
              <w:rPr>
                <w:rFonts w:hint="eastAsia" w:ascii="宋体" w:hAnsi="宋体" w:cs="宋体"/>
                <w:szCs w:val="32"/>
              </w:rPr>
              <w:t>任思旭.基于视觉的并联机器人运动学标定及位姿跟踪方法研究[D].哈尔滨工程大学,2017.</w:t>
            </w:r>
          </w:p>
        </w:tc>
      </w:tr>
      <w:tr w14:paraId="14E96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B676354">
            <w:pPr>
              <w:pStyle w:val="4"/>
            </w:pPr>
            <w:bookmarkStart w:id="2" w:name="_Hlk185844946"/>
            <w:r>
              <w:t>论文的</w:t>
            </w:r>
            <w:bookmarkStart w:id="3" w:name="OLE_LINK2"/>
            <w:r>
              <w:t>理论依据、研究方法、研究内容</w:t>
            </w:r>
            <w:bookmarkEnd w:id="3"/>
          </w:p>
          <w:p w14:paraId="185A4557">
            <w:pPr>
              <w:numPr>
                <w:ilvl w:val="3"/>
                <w:numId w:val="0"/>
              </w:numPr>
              <w:tabs>
                <w:tab w:val="left" w:pos="420"/>
              </w:tabs>
              <w:rPr>
                <w:rFonts w:eastAsia="仿宋_GB2312"/>
                <w:b/>
                <w:bCs/>
                <w:sz w:val="28"/>
              </w:rPr>
            </w:pPr>
            <w:r>
              <w:rPr>
                <w:rFonts w:eastAsia="仿宋_GB2312"/>
                <w:b/>
                <w:bCs/>
                <w:sz w:val="28"/>
              </w:rPr>
              <w:t>1.</w:t>
            </w:r>
            <w:r>
              <w:rPr>
                <w:rFonts w:hint="eastAsia" w:eastAsia="仿宋_GB2312"/>
                <w:b/>
                <w:bCs/>
                <w:sz w:val="28"/>
              </w:rPr>
              <w:t>理论依据</w:t>
            </w:r>
          </w:p>
          <w:p w14:paraId="5A22DA71">
            <w:pPr>
              <w:ind w:firstLine="480"/>
            </w:pPr>
            <w:r>
              <w:rPr>
                <w:rFonts w:hint="eastAsia"/>
              </w:rPr>
              <w:t>机器人学理论：机器人学涵盖了机器人的运动学、动力学、控制理论等方面的知识。在本研究中，运用机器人运动学原理建立双机器人的运动学模型，通过正运动学分析计算机器人末端执行器的位置和姿态，利用逆运动学求解实现给定目标位置和姿态的机器人关节角度。机器人动力学则用于分析机器人在运动过程中的受力情况，为机器人的控制提供理论依据。例如，根据拉格朗日方程建立机器人的动力学方程，考虑机器人的惯性、重力、摩擦力等因素，设计合理的控制算法，实现机器人的精确运动控制。</w:t>
            </w:r>
          </w:p>
          <w:p w14:paraId="062317F7">
            <w:pPr>
              <w:ind w:firstLine="480"/>
            </w:pPr>
            <w:r>
              <w:rPr>
                <w:rFonts w:hint="eastAsia"/>
              </w:rPr>
              <w:t>机器视觉理论：机器视觉理论包括图像处理、计算机视觉、视觉测量等方面的知识。图像处理技术用于对相机采集到的图像进行预处理，如滤波、增强、边缘检测等操作，提高图像的质量和特征提取的准确性。计算机视觉中的目标识别、定位算法是实现零件识别和定位的关键，通过特征匹配、深度学习等方法确定零件在图像中的位置和姿态。视觉测量原理则基于相机成像模型，通过对图像中特征点的测量和计算，获取零件的三维空间信息，为机器人的操作提供精确的位置数据。</w:t>
            </w:r>
          </w:p>
          <w:p w14:paraId="0B5B1C53">
            <w:pPr>
              <w:ind w:firstLine="480"/>
              <w:rPr>
                <w:rFonts w:hint="eastAsia" w:ascii="宋体" w:hAnsi="宋体"/>
              </w:rPr>
            </w:pPr>
            <w:r>
              <w:rPr>
                <w:rFonts w:hint="eastAsia"/>
              </w:rPr>
              <w:t>控制理论：控制理论是实现机器视觉与双机器人协调控制的基础。在本研究中，采用反馈控制原理，将机器视觉系统获取的零件位置信息作为反馈信号，与机器人的期望位置进行比较，通过控制器计算出控制量，调整机器人的运动，使机器人能够准确地抓取和装配零件。同时，运用协同控制理论研究双机器人之间的协作策略，实现双机器人的同步运动、任务分配和避碰等功能。例如，采用主从控制、分布式控制等协同控制策略，确保双机器人在装配过程中高效协作。</w:t>
            </w:r>
          </w:p>
          <w:p w14:paraId="415A5B78">
            <w:pPr>
              <w:numPr>
                <w:ilvl w:val="3"/>
                <w:numId w:val="0"/>
              </w:numPr>
              <w:tabs>
                <w:tab w:val="left" w:pos="420"/>
              </w:tabs>
              <w:spacing w:line="240" w:lineRule="auto"/>
              <w:rPr>
                <w:rFonts w:eastAsia="仿宋_GB2312"/>
                <w:b/>
                <w:bCs/>
                <w:sz w:val="28"/>
              </w:rPr>
            </w:pPr>
            <w:r>
              <w:rPr>
                <w:rFonts w:eastAsia="仿宋_GB2312"/>
                <w:b/>
                <w:bCs/>
                <w:sz w:val="28"/>
              </w:rPr>
              <w:t>2.</w:t>
            </w:r>
            <w:r>
              <w:rPr>
                <w:rFonts w:hint="eastAsia" w:eastAsia="仿宋_GB2312"/>
                <w:b/>
                <w:bCs/>
                <w:sz w:val="28"/>
              </w:rPr>
              <w:t>研究方法</w:t>
            </w:r>
          </w:p>
          <w:p w14:paraId="4273D0BA">
            <w:pPr>
              <w:tabs>
                <w:tab w:val="left" w:pos="420"/>
              </w:tabs>
              <w:spacing w:line="240" w:lineRule="auto"/>
              <w:ind w:firstLine="0" w:firstLineChars="0"/>
              <w:rPr>
                <w:rFonts w:eastAsia="仿宋_GB2312"/>
                <w:b/>
                <w:bCs/>
              </w:rPr>
            </w:pPr>
            <w:commentRangeStart w:id="3"/>
            <w:r>
              <w:rPr>
                <w:rFonts w:hint="eastAsia" w:eastAsia="仿宋_GB2312"/>
                <w:b/>
                <w:bCs/>
              </w:rPr>
              <w:t>2</w:t>
            </w:r>
            <w:r>
              <w:rPr>
                <w:rFonts w:eastAsia="仿宋_GB2312"/>
                <w:b/>
                <w:bCs/>
              </w:rPr>
              <w:t xml:space="preserve">.1 </w:t>
            </w:r>
            <w:r>
              <w:rPr>
                <w:rFonts w:hint="eastAsia" w:eastAsia="仿宋_GB2312"/>
                <w:b/>
                <w:bCs/>
              </w:rPr>
              <w:t>系统总体结构方案</w:t>
            </w:r>
          </w:p>
          <w:p w14:paraId="701B4A02">
            <w:pPr>
              <w:tabs>
                <w:tab w:val="left" w:pos="420"/>
              </w:tabs>
              <w:ind w:firstLine="480"/>
              <w:rPr>
                <w:rFonts w:hint="eastAsia" w:ascii="宋体" w:hAnsi="宋体"/>
              </w:rPr>
            </w:pPr>
            <w:r>
              <w:rPr>
                <w:rFonts w:hint="eastAsia" w:ascii="宋体" w:hAnsi="宋体"/>
              </w:rPr>
              <w:t>基于之前的分析，为了能够实现本课题的设计目标，满足双机器人的协调控制，以及加工过程中视觉检测的实时性和准确性要求，本课题将采用如图1所示的控制系统硬件方案。</w:t>
            </w:r>
            <w:commentRangeEnd w:id="3"/>
            <w:r>
              <w:commentReference w:id="3"/>
            </w:r>
          </w:p>
          <w:p w14:paraId="61F311C8">
            <w:pPr>
              <w:tabs>
                <w:tab w:val="left" w:pos="420"/>
              </w:tabs>
              <w:spacing w:line="240" w:lineRule="auto"/>
              <w:ind w:firstLine="0" w:firstLineChars="0"/>
              <w:jc w:val="center"/>
            </w:pPr>
            <w:r>
              <w:drawing>
                <wp:inline distT="0" distB="0" distL="0" distR="0">
                  <wp:extent cx="5245100" cy="2677160"/>
                  <wp:effectExtent l="0" t="0" r="0" b="0"/>
                  <wp:docPr id="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
                          <pic:cNvPicPr>
                            <a:picLocks noChangeAspect="1" noChangeArrowheads="1"/>
                          </pic:cNvPicPr>
                        </pic:nvPicPr>
                        <pic:blipFill>
                          <a:blip r:embed="rId14">
                            <a:extLst>
                              <a:ext uri="{28A0092B-C50C-407E-A947-70E740481C1C}">
                                <a14:useLocalDpi xmlns:a14="http://schemas.microsoft.com/office/drawing/2010/main" val="0"/>
                              </a:ext>
                            </a:extLst>
                          </a:blip>
                          <a:srcRect r="554" b="4938"/>
                          <a:stretch>
                            <a:fillRect/>
                          </a:stretch>
                        </pic:blipFill>
                        <pic:spPr>
                          <a:xfrm>
                            <a:off x="0" y="0"/>
                            <a:ext cx="5245100" cy="2677160"/>
                          </a:xfrm>
                          <a:prstGeom prst="rect">
                            <a:avLst/>
                          </a:prstGeom>
                          <a:noFill/>
                          <a:ln>
                            <a:noFill/>
                          </a:ln>
                        </pic:spPr>
                      </pic:pic>
                    </a:graphicData>
                  </a:graphic>
                </wp:inline>
              </w:drawing>
            </w:r>
          </w:p>
          <w:p w14:paraId="44FE0497">
            <w:pPr>
              <w:tabs>
                <w:tab w:val="left" w:pos="420"/>
              </w:tabs>
              <w:ind w:firstLine="360"/>
              <w:jc w:val="center"/>
              <w:rPr>
                <w:rFonts w:hint="eastAsia" w:ascii="微软雅黑" w:hAnsi="微软雅黑" w:eastAsia="微软雅黑"/>
                <w:sz w:val="18"/>
                <w:szCs w:val="18"/>
              </w:rPr>
            </w:pPr>
            <w:r>
              <w:rPr>
                <w:rFonts w:hint="eastAsia" w:ascii="微软雅黑" w:hAnsi="微软雅黑" w:eastAsia="微软雅黑"/>
                <w:sz w:val="18"/>
                <w:szCs w:val="18"/>
              </w:rPr>
              <w:t>图1</w:t>
            </w:r>
            <w:r>
              <w:rPr>
                <w:rFonts w:ascii="微软雅黑" w:hAnsi="微软雅黑" w:eastAsia="微软雅黑"/>
                <w:sz w:val="18"/>
                <w:szCs w:val="18"/>
              </w:rPr>
              <w:t xml:space="preserve"> </w:t>
            </w:r>
            <w:r>
              <w:rPr>
                <w:rFonts w:hint="eastAsia" w:ascii="微软雅黑" w:hAnsi="微软雅黑" w:eastAsia="微软雅黑"/>
                <w:sz w:val="18"/>
                <w:szCs w:val="18"/>
              </w:rPr>
              <w:t>硬件设计方案</w:t>
            </w:r>
          </w:p>
          <w:p w14:paraId="6002F403">
            <w:pPr>
              <w:tabs>
                <w:tab w:val="left" w:pos="420"/>
              </w:tabs>
              <w:ind w:firstLine="480"/>
              <w:rPr>
                <w:rFonts w:eastAsia="仿宋_GB2312"/>
              </w:rPr>
            </w:pPr>
            <w:r>
              <w:rPr>
                <w:rFonts w:hint="eastAsia" w:eastAsia="仿宋_GB2312"/>
              </w:rPr>
              <w:t>2</w:t>
            </w:r>
            <w:r>
              <w:rPr>
                <w:rFonts w:eastAsia="仿宋_GB2312"/>
              </w:rPr>
              <w:t>.1.1</w:t>
            </w:r>
            <w:r>
              <w:rPr>
                <w:rFonts w:hint="eastAsia" w:eastAsia="仿宋_GB2312"/>
                <w:sz w:val="28"/>
                <w:szCs w:val="28"/>
              </w:rPr>
              <w:t>上位机电脑</w:t>
            </w:r>
            <w:r>
              <w:rPr>
                <w:rFonts w:hint="eastAsia" w:eastAsia="仿宋_GB2312"/>
              </w:rPr>
              <w:t>ROS</w:t>
            </w:r>
          </w:p>
          <w:p w14:paraId="6C580B27">
            <w:pPr>
              <w:tabs>
                <w:tab w:val="left" w:pos="420"/>
              </w:tabs>
              <w:ind w:firstLine="480"/>
              <w:rPr>
                <w:rFonts w:hint="eastAsia" w:ascii="宋体" w:hAnsi="宋体"/>
              </w:rPr>
            </w:pPr>
            <w:r>
              <w:rPr>
                <w:rFonts w:hint="eastAsia" w:ascii="宋体" w:hAnsi="宋体"/>
              </w:rPr>
              <w:t>主控制端采用工控PC机，搭载ROS（Robot Operating System）软件平台，通过网络适配器连接至网络交换机。作为系统的控制核心，ROS 平台集成了运动规划、视觉感知、目标检测、位姿估计、任务序列计算、决策推理、运动控制和双臂协调等功能模块。运动规划模块依据装配任务与环境信息设计双机器人的运动路径；视觉感知模块处理来自视觉传感器的数据，实现对装配场景和目标物体的理解；目标检测模块识别待装配零件；位姿估计模块确定机器人与目标的精确位置和姿态；任务序列计算模块规划双机器人执行装配任务的先后顺序；决策推理模块根据多种数据做出操作决策；运动控制模块将指令转化为机器人可执行的动作信号；双臂协调模块保障双机器人协作动作的流畅性与协调性。通过网络通信，上位机电脑向双机器人控制器发送控制指令并接收反馈信息。</w:t>
            </w:r>
          </w:p>
          <w:p w14:paraId="08B0BEDF">
            <w:pPr>
              <w:tabs>
                <w:tab w:val="left" w:pos="420"/>
              </w:tabs>
              <w:ind w:firstLine="480"/>
              <w:rPr>
                <w:rFonts w:eastAsia="仿宋_GB2312"/>
              </w:rPr>
            </w:pPr>
            <w:r>
              <w:rPr>
                <w:rFonts w:hint="eastAsia" w:eastAsia="仿宋_GB2312"/>
              </w:rPr>
              <w:t>2.1.2 双机器人模块</w:t>
            </w:r>
          </w:p>
          <w:p w14:paraId="7F973378">
            <w:pPr>
              <w:tabs>
                <w:tab w:val="left" w:pos="420"/>
              </w:tabs>
              <w:ind w:firstLine="480"/>
              <w:rPr>
                <w:rFonts w:hint="eastAsia" w:ascii="宋体" w:hAnsi="宋体"/>
              </w:rPr>
            </w:pPr>
            <w:r>
              <w:rPr>
                <w:rFonts w:hint="eastAsia" w:ascii="宋体" w:hAnsi="宋体"/>
              </w:rPr>
              <w:t>双机器人模块包含双机器人控制器、IO模块以及机械臂。双机器人控制器通过网络接口与交换机相连，IO模块与机器人内部电路及外部设备接口相连，机械臂为机器人的执行机构，具备多个关节与末端执行器连接部位。双机器人控制器是模块的核心，负责接收上位机电脑通过网络传来的控制指令，并结合视觉检测模块的数据，精确控制机械臂的运动。IO 模块实现机器人与外部设备的信号交互，例如获取外部传感器信号或控制外部辅助设备。机械臂在控制器的指挥下，完成零件的抓取、搬运、装配等实际操作动作，通过关节的灵活转动与末端执行器的精准动作，实现对各种装配任务的执行，并且双机器人之间可依据控制器的协调进行协同作业。</w:t>
            </w:r>
          </w:p>
          <w:p w14:paraId="669E8737">
            <w:pPr>
              <w:tabs>
                <w:tab w:val="left" w:pos="420"/>
              </w:tabs>
              <w:ind w:firstLine="480"/>
              <w:rPr>
                <w:rFonts w:eastAsia="仿宋_GB2312"/>
              </w:rPr>
            </w:pPr>
            <w:r>
              <w:rPr>
                <w:rFonts w:hint="eastAsia" w:eastAsia="仿宋_GB2312"/>
              </w:rPr>
              <w:t>2.1.3 视觉检测模块</w:t>
            </w:r>
          </w:p>
          <w:p w14:paraId="6AB6364C">
            <w:pPr>
              <w:ind w:firstLine="480"/>
            </w:pPr>
            <w:r>
              <w:t>视觉检测模块主要由视觉传感器、参数配置单元、模式选择单元、触发信号单元以及数据采集单元组成。视觉传感器安装在合适的位置以获取装配区域的图像信息，各单元通过电路连接并与双机器人控制器通信。参数配置单元可根据装配环境的光照、目标物体特征等因素调整视觉传感器的参数，如分辨率、帧率、焦距、曝光时间等，以获取清晰且合适的图像数据。模式选择单元可切换视觉传感器的工作模式，如目标识别模式、尺寸测量模式、位姿估算模式等，以满足不同装配阶段的需求。触发信号单元在特定条件或指令下启动视觉传感器的数据采集工作，数据采集单元则负责收集视觉传感器拍摄到的图像及相关数据，并将其传输给双机器人控制器，为机器人的操作提供精准的视觉反馈，辅助机器人确定零件位置、姿态以及装配精度等。</w:t>
            </w:r>
          </w:p>
          <w:p w14:paraId="6B4E0255">
            <w:pPr>
              <w:tabs>
                <w:tab w:val="left" w:pos="420"/>
              </w:tabs>
              <w:ind w:firstLine="480"/>
              <w:rPr>
                <w:rFonts w:hint="eastAsia" w:ascii="宋体" w:hAnsi="宋体"/>
              </w:rPr>
            </w:pPr>
            <w:r>
              <w:rPr>
                <w:rFonts w:hint="eastAsia" w:ascii="宋体" w:hAnsi="宋体"/>
              </w:rPr>
              <w:t>2.1.4 电动夹爪模块</w:t>
            </w:r>
          </w:p>
          <w:p w14:paraId="2ABC7955">
            <w:pPr>
              <w:tabs>
                <w:tab w:val="left" w:pos="420"/>
              </w:tabs>
              <w:ind w:firstLine="480"/>
              <w:rPr>
                <w:rFonts w:hint="eastAsia" w:ascii="宋体" w:hAnsi="宋体"/>
              </w:rPr>
            </w:pPr>
            <w:r>
              <w:rPr>
                <w:rFonts w:hint="eastAsia" w:ascii="宋体" w:hAnsi="宋体"/>
              </w:rPr>
              <w:t>电动夹爪模块由电动夹爪本体和连接上位机电脑的 USB 接口组成。电动夹爪安装在机器人机械臂的末端执行器部位，通过内部电机与传动机构实现夹取动作。上位机电脑通过USB接口与电动夹爪通信，向其发送控制指令。电动夹爪根据指令控制电机运转，通过传动机构实现夹爪的开合动作，从而完成对零件的抓取与放置操作。其能够根据不同零件的形状、尺寸和重量等特性，调整夹取力度与夹取范围，确保在装配过程中零件的稳定搬运与准确放置。</w:t>
            </w:r>
          </w:p>
          <w:p w14:paraId="1B876E80">
            <w:pPr>
              <w:tabs>
                <w:tab w:val="left" w:pos="420"/>
              </w:tabs>
              <w:ind w:firstLine="480"/>
              <w:rPr>
                <w:rFonts w:eastAsia="仿宋_GB2312"/>
              </w:rPr>
            </w:pPr>
            <w:r>
              <w:rPr>
                <w:rFonts w:hint="eastAsia" w:eastAsia="仿宋_GB2312"/>
              </w:rPr>
              <w:t>2.1.</w:t>
            </w:r>
            <w:r>
              <w:rPr>
                <w:rFonts w:eastAsia="仿宋_GB2312"/>
              </w:rPr>
              <w:t>5</w:t>
            </w:r>
            <w:r>
              <w:rPr>
                <w:rFonts w:hint="eastAsia" w:eastAsia="仿宋_GB2312"/>
              </w:rPr>
              <w:t xml:space="preserve"> 通信模块</w:t>
            </w:r>
          </w:p>
          <w:p w14:paraId="35A6D5F4">
            <w:pPr>
              <w:tabs>
                <w:tab w:val="left" w:pos="420"/>
              </w:tabs>
              <w:ind w:firstLine="480"/>
              <w:rPr>
                <w:rFonts w:hint="eastAsia" w:ascii="宋体" w:hAnsi="宋体"/>
              </w:rPr>
            </w:pPr>
            <w:r>
              <w:rPr>
                <w:rFonts w:hint="eastAsia" w:ascii="宋体" w:hAnsi="宋体"/>
              </w:rPr>
              <w:t>由网络适配器和交换机组成。网络适配器安装在上位机电脑内部，一端连接电脑主板，另一端连接网络线缆至交换机；交换机则通过网络端口与双机器人控制器、上位机电脑等设备连接，构建起星型网络拓扑结构。网络适配器将上位机电脑的数据进行格式转换与适配后，以UDP协议传输给交换机。交换机作为网络中心枢纽，通过TCP/IP协议实现双机器人控制器与上位机电脑之间的数据交换与转发，确保数据在不同设备之间稳定、高效、准确地传输，保障整个系统各模块间信息交互的及时性与完整性，使系统能够协调有序地运行。</w:t>
            </w:r>
          </w:p>
          <w:p w14:paraId="5C6AC6FC">
            <w:pPr>
              <w:tabs>
                <w:tab w:val="left" w:pos="420"/>
              </w:tabs>
              <w:ind w:left="480" w:leftChars="200" w:firstLine="0" w:firstLineChars="0"/>
              <w:rPr>
                <w:rFonts w:eastAsia="仿宋_GB2312"/>
                <w:b/>
                <w:bCs/>
              </w:rPr>
            </w:pPr>
            <w:r>
              <w:rPr>
                <w:rFonts w:hint="eastAsia" w:eastAsia="仿宋_GB2312"/>
                <w:b/>
                <w:bCs/>
              </w:rPr>
              <w:t>2.2软件研究方案</w:t>
            </w:r>
          </w:p>
          <w:p w14:paraId="0760871E">
            <w:pPr>
              <w:tabs>
                <w:tab w:val="left" w:pos="420"/>
              </w:tabs>
              <w:ind w:firstLine="480"/>
              <w:rPr>
                <w:rFonts w:hint="eastAsia" w:ascii="宋体" w:hAnsi="宋体"/>
              </w:rPr>
            </w:pPr>
            <w:r>
              <w:rPr>
                <w:rFonts w:hint="eastAsia" w:ascii="宋体" w:hAnsi="宋体"/>
              </w:rPr>
              <w:t>在硬件平台基础上，利用ROS平台拥有的丰富库函数，可以高效切简便地编写出软件系统，软件系统同样采用模块化设计，这样可以使软件系统的各个模块独立、可重用、易维护、易测试、可并行开发和可扩展。并且能降低开发成本，提高系统的可维护性、可扩展性和稳定性，加快开发进度，减少修改风险，提高系统的可靠性。系统共分为四个模块，分别是视觉处理、机器人控制、任务管理模块、人机交互模块，如表1所示。</w:t>
            </w:r>
          </w:p>
          <w:p w14:paraId="1D2C4E03">
            <w:pPr>
              <w:tabs>
                <w:tab w:val="left" w:pos="420"/>
              </w:tabs>
              <w:ind w:firstLine="360"/>
              <w:jc w:val="center"/>
              <w:rPr>
                <w:rFonts w:hint="eastAsia" w:ascii="微软雅黑" w:hAnsi="微软雅黑" w:eastAsia="微软雅黑"/>
                <w:sz w:val="18"/>
                <w:szCs w:val="18"/>
              </w:rPr>
            </w:pPr>
            <w:r>
              <w:rPr>
                <w:rFonts w:hint="eastAsia" w:ascii="微软雅黑" w:hAnsi="微软雅黑" w:eastAsia="微软雅黑"/>
                <w:sz w:val="18"/>
                <w:szCs w:val="18"/>
              </w:rPr>
              <w:t>表1</w:t>
            </w:r>
            <w:r>
              <w:rPr>
                <w:rFonts w:ascii="微软雅黑" w:hAnsi="微软雅黑" w:eastAsia="微软雅黑"/>
                <w:sz w:val="18"/>
                <w:szCs w:val="18"/>
              </w:rPr>
              <w:t xml:space="preserve"> </w:t>
            </w:r>
            <w:r>
              <w:rPr>
                <w:rFonts w:hint="eastAsia" w:ascii="微软雅黑" w:hAnsi="微软雅黑" w:eastAsia="微软雅黑"/>
                <w:sz w:val="18"/>
                <w:szCs w:val="18"/>
              </w:rPr>
              <w:t>控制系统软件方案</w:t>
            </w:r>
          </w:p>
          <w:tbl>
            <w:tblPr>
              <w:tblStyle w:val="9"/>
              <w:tblW w:w="7589" w:type="dxa"/>
              <w:tblInd w:w="344" w:type="dxa"/>
              <w:tblLayout w:type="autofit"/>
              <w:tblCellMar>
                <w:top w:w="15" w:type="dxa"/>
                <w:left w:w="108" w:type="dxa"/>
                <w:bottom w:w="15" w:type="dxa"/>
                <w:right w:w="108" w:type="dxa"/>
              </w:tblCellMar>
            </w:tblPr>
            <w:tblGrid>
              <w:gridCol w:w="1777"/>
              <w:gridCol w:w="2977"/>
              <w:gridCol w:w="2835"/>
            </w:tblGrid>
            <w:tr w14:paraId="599ECDFD">
              <w:tblPrEx>
                <w:tblCellMar>
                  <w:top w:w="15" w:type="dxa"/>
                  <w:left w:w="108" w:type="dxa"/>
                  <w:bottom w:w="15" w:type="dxa"/>
                  <w:right w:w="108" w:type="dxa"/>
                </w:tblCellMar>
              </w:tblPrEx>
              <w:trPr>
                <w:trHeight w:val="330" w:hRule="atLeast"/>
              </w:trPr>
              <w:tc>
                <w:tcPr>
                  <w:tcW w:w="1777" w:type="dxa"/>
                  <w:tcBorders>
                    <w:top w:val="single" w:color="000000" w:sz="4" w:space="0"/>
                    <w:left w:val="single" w:color="000000" w:sz="4" w:space="0"/>
                    <w:bottom w:val="single" w:color="000000" w:sz="4" w:space="0"/>
                    <w:right w:val="single" w:color="000000" w:sz="4" w:space="0"/>
                  </w:tcBorders>
                  <w:vAlign w:val="center"/>
                </w:tcPr>
                <w:p w14:paraId="47B980D6">
                  <w:pPr>
                    <w:widowControl/>
                    <w:ind w:firstLine="480"/>
                    <w:jc w:val="center"/>
                    <w:rPr>
                      <w:rFonts w:ascii="Calibri" w:hAnsi="Calibri" w:cs="Calibri"/>
                      <w:color w:val="000000"/>
                      <w:kern w:val="0"/>
                    </w:rPr>
                  </w:pPr>
                  <w:r>
                    <w:rPr>
                      <w:rFonts w:ascii="Calibri" w:hAnsi="Calibri" w:cs="Calibri"/>
                      <w:color w:val="000000"/>
                      <w:kern w:val="0"/>
                    </w:rPr>
                    <w:t>模块名称</w:t>
                  </w:r>
                </w:p>
              </w:tc>
              <w:tc>
                <w:tcPr>
                  <w:tcW w:w="2977" w:type="dxa"/>
                  <w:tcBorders>
                    <w:top w:val="single" w:color="000000" w:sz="4" w:space="0"/>
                    <w:left w:val="single" w:color="000000" w:sz="4" w:space="0"/>
                    <w:bottom w:val="single" w:color="000000" w:sz="4" w:space="0"/>
                    <w:right w:val="single" w:color="000000" w:sz="4" w:space="0"/>
                  </w:tcBorders>
                  <w:vAlign w:val="center"/>
                </w:tcPr>
                <w:p w14:paraId="329070FA">
                  <w:pPr>
                    <w:widowControl/>
                    <w:ind w:firstLine="480"/>
                    <w:jc w:val="center"/>
                    <w:rPr>
                      <w:rFonts w:ascii="Calibri" w:hAnsi="Calibri" w:cs="Calibri"/>
                      <w:color w:val="000000"/>
                      <w:kern w:val="0"/>
                    </w:rPr>
                  </w:pPr>
                  <w:r>
                    <w:rPr>
                      <w:rFonts w:ascii="Calibri" w:hAnsi="Calibri" w:cs="Calibri"/>
                      <w:color w:val="000000"/>
                      <w:kern w:val="0"/>
                    </w:rPr>
                    <w:t>功能描述</w:t>
                  </w:r>
                </w:p>
              </w:tc>
              <w:tc>
                <w:tcPr>
                  <w:tcW w:w="2835" w:type="dxa"/>
                  <w:tcBorders>
                    <w:top w:val="single" w:color="000000" w:sz="4" w:space="0"/>
                    <w:left w:val="single" w:color="000000" w:sz="4" w:space="0"/>
                    <w:bottom w:val="single" w:color="000000" w:sz="4" w:space="0"/>
                    <w:right w:val="single" w:color="000000" w:sz="4" w:space="0"/>
                  </w:tcBorders>
                  <w:vAlign w:val="center"/>
                </w:tcPr>
                <w:p w14:paraId="6A4AFB7D">
                  <w:pPr>
                    <w:widowControl/>
                    <w:ind w:firstLine="480"/>
                    <w:jc w:val="center"/>
                    <w:rPr>
                      <w:rFonts w:ascii="Calibri" w:hAnsi="Calibri" w:cs="Calibri"/>
                      <w:color w:val="000000"/>
                      <w:kern w:val="0"/>
                    </w:rPr>
                  </w:pPr>
                  <w:r>
                    <w:rPr>
                      <w:rFonts w:ascii="Calibri" w:hAnsi="Calibri" w:cs="Calibri"/>
                      <w:color w:val="000000"/>
                      <w:kern w:val="0"/>
                    </w:rPr>
                    <w:t>互动组件</w:t>
                  </w:r>
                </w:p>
              </w:tc>
            </w:tr>
            <w:tr w14:paraId="3195A4EB">
              <w:tblPrEx>
                <w:tblCellMar>
                  <w:top w:w="15" w:type="dxa"/>
                  <w:left w:w="108" w:type="dxa"/>
                  <w:bottom w:w="15" w:type="dxa"/>
                  <w:right w:w="108" w:type="dxa"/>
                </w:tblCellMar>
              </w:tblPrEx>
              <w:trPr>
                <w:trHeight w:val="735" w:hRule="atLeast"/>
              </w:trPr>
              <w:tc>
                <w:tcPr>
                  <w:tcW w:w="1777" w:type="dxa"/>
                  <w:tcBorders>
                    <w:top w:val="single" w:color="000000" w:sz="4" w:space="0"/>
                    <w:left w:val="single" w:color="000000" w:sz="4" w:space="0"/>
                    <w:bottom w:val="single" w:color="000000" w:sz="4" w:space="0"/>
                    <w:right w:val="single" w:color="000000" w:sz="4" w:space="0"/>
                  </w:tcBorders>
                  <w:vAlign w:val="center"/>
                </w:tcPr>
                <w:p w14:paraId="3C514C1C">
                  <w:pPr>
                    <w:widowControl/>
                    <w:spacing w:line="240" w:lineRule="auto"/>
                    <w:ind w:firstLine="0" w:firstLineChars="0"/>
                    <w:jc w:val="center"/>
                    <w:rPr>
                      <w:rFonts w:ascii="Calibri" w:hAnsi="Calibri" w:cs="Calibri"/>
                      <w:color w:val="000000"/>
                      <w:kern w:val="0"/>
                    </w:rPr>
                  </w:pPr>
                  <w:r>
                    <w:rPr>
                      <w:rFonts w:hint="eastAsia" w:ascii="Calibri" w:hAnsi="Calibri" w:cs="Calibri"/>
                      <w:color w:val="000000"/>
                      <w:kern w:val="0"/>
                    </w:rPr>
                    <w:t>视觉处理</w:t>
                  </w:r>
                  <w:r>
                    <w:rPr>
                      <w:rFonts w:ascii="Calibri" w:hAnsi="Calibri" w:cs="Calibri"/>
                      <w:color w:val="000000"/>
                      <w:kern w:val="0"/>
                    </w:rPr>
                    <w:t>模块</w:t>
                  </w:r>
                </w:p>
              </w:tc>
              <w:tc>
                <w:tcPr>
                  <w:tcW w:w="2977" w:type="dxa"/>
                  <w:tcBorders>
                    <w:top w:val="single" w:color="000000" w:sz="4" w:space="0"/>
                    <w:left w:val="single" w:color="000000" w:sz="4" w:space="0"/>
                    <w:bottom w:val="single" w:color="000000" w:sz="4" w:space="0"/>
                    <w:right w:val="single" w:color="000000" w:sz="4" w:space="0"/>
                  </w:tcBorders>
                  <w:vAlign w:val="center"/>
                </w:tcPr>
                <w:p w14:paraId="15E1A8EA">
                  <w:pPr>
                    <w:widowControl/>
                    <w:spacing w:line="240" w:lineRule="auto"/>
                    <w:ind w:firstLine="0" w:firstLineChars="0"/>
                    <w:jc w:val="center"/>
                    <w:rPr>
                      <w:rFonts w:ascii="Calibri" w:hAnsi="Calibri" w:cs="Calibri"/>
                      <w:color w:val="000000"/>
                      <w:kern w:val="0"/>
                    </w:rPr>
                  </w:pPr>
                  <w:r>
                    <w:rPr>
                      <w:rFonts w:hint="eastAsia" w:ascii="Calibri" w:hAnsi="Calibri" w:cs="Calibri"/>
                      <w:color w:val="000000"/>
                      <w:kern w:val="0"/>
                    </w:rPr>
                    <w:t>图像采集</w:t>
                  </w:r>
                  <w:r>
                    <w:rPr>
                      <w:rFonts w:ascii="Calibri" w:hAnsi="Calibri" w:cs="Calibri"/>
                      <w:color w:val="000000"/>
                      <w:kern w:val="0"/>
                    </w:rPr>
                    <w:t>、</w:t>
                  </w:r>
                  <w:r>
                    <w:rPr>
                      <w:rFonts w:hint="eastAsia" w:ascii="Calibri" w:hAnsi="Calibri" w:cs="Calibri"/>
                      <w:color w:val="000000"/>
                      <w:kern w:val="0"/>
                    </w:rPr>
                    <w:t>图像预处理</w:t>
                  </w:r>
                  <w:r>
                    <w:rPr>
                      <w:rFonts w:ascii="Calibri" w:hAnsi="Calibri" w:cs="Calibri"/>
                      <w:color w:val="000000"/>
                      <w:kern w:val="0"/>
                    </w:rPr>
                    <w:t>、</w:t>
                  </w:r>
                  <w:r>
                    <w:rPr>
                      <w:rFonts w:hint="eastAsia" w:ascii="Calibri" w:hAnsi="Calibri" w:cs="Calibri"/>
                      <w:color w:val="000000"/>
                      <w:kern w:val="0"/>
                    </w:rPr>
                    <w:t>特征提取、目标识别与定位</w:t>
                  </w:r>
                </w:p>
              </w:tc>
              <w:tc>
                <w:tcPr>
                  <w:tcW w:w="2835" w:type="dxa"/>
                  <w:tcBorders>
                    <w:top w:val="single" w:color="000000" w:sz="4" w:space="0"/>
                    <w:left w:val="single" w:color="000000" w:sz="4" w:space="0"/>
                    <w:bottom w:val="single" w:color="000000" w:sz="4" w:space="0"/>
                    <w:right w:val="single" w:color="000000" w:sz="4" w:space="0"/>
                  </w:tcBorders>
                  <w:vAlign w:val="center"/>
                </w:tcPr>
                <w:p w14:paraId="0D19CB37">
                  <w:pPr>
                    <w:widowControl/>
                    <w:ind w:firstLine="480"/>
                    <w:rPr>
                      <w:rFonts w:ascii="Calibri" w:hAnsi="Calibri" w:cs="Calibri"/>
                      <w:color w:val="000000"/>
                      <w:kern w:val="0"/>
                    </w:rPr>
                  </w:pPr>
                  <w:r>
                    <w:rPr>
                      <w:rFonts w:hint="eastAsia" w:ascii="Calibri" w:hAnsi="Calibri" w:cs="Calibri"/>
                      <w:color w:val="000000"/>
                      <w:kern w:val="0"/>
                    </w:rPr>
                    <w:t>视觉检测硬件</w:t>
                  </w:r>
                </w:p>
              </w:tc>
            </w:tr>
            <w:tr w14:paraId="19E6E265">
              <w:tblPrEx>
                <w:tblCellMar>
                  <w:top w:w="15" w:type="dxa"/>
                  <w:left w:w="108" w:type="dxa"/>
                  <w:bottom w:w="15" w:type="dxa"/>
                  <w:right w:w="108" w:type="dxa"/>
                </w:tblCellMar>
              </w:tblPrEx>
              <w:trPr>
                <w:trHeight w:val="324" w:hRule="atLeast"/>
              </w:trPr>
              <w:tc>
                <w:tcPr>
                  <w:tcW w:w="1777" w:type="dxa"/>
                  <w:tcBorders>
                    <w:top w:val="single" w:color="000000" w:sz="4" w:space="0"/>
                    <w:left w:val="single" w:color="000000" w:sz="4" w:space="0"/>
                    <w:bottom w:val="single" w:color="000000" w:sz="4" w:space="0"/>
                    <w:right w:val="single" w:color="000000" w:sz="4" w:space="0"/>
                  </w:tcBorders>
                  <w:vAlign w:val="center"/>
                </w:tcPr>
                <w:p w14:paraId="54E49E17">
                  <w:pPr>
                    <w:widowControl/>
                    <w:spacing w:line="240" w:lineRule="auto"/>
                    <w:ind w:firstLine="0" w:firstLineChars="0"/>
                    <w:jc w:val="center"/>
                    <w:rPr>
                      <w:rFonts w:ascii="Calibri" w:hAnsi="Calibri" w:cs="Calibri"/>
                      <w:color w:val="000000"/>
                      <w:kern w:val="0"/>
                    </w:rPr>
                  </w:pPr>
                  <w:r>
                    <w:rPr>
                      <w:rFonts w:hint="eastAsia" w:ascii="Calibri" w:hAnsi="Calibri" w:cs="Calibri"/>
                      <w:color w:val="000000"/>
                      <w:kern w:val="0"/>
                    </w:rPr>
                    <w:t>机器人控制</w:t>
                  </w:r>
                  <w:r>
                    <w:rPr>
                      <w:rFonts w:ascii="Calibri" w:hAnsi="Calibri" w:cs="Calibri"/>
                      <w:color w:val="000000"/>
                      <w:kern w:val="0"/>
                    </w:rPr>
                    <w:t>模块</w:t>
                  </w:r>
                </w:p>
              </w:tc>
              <w:tc>
                <w:tcPr>
                  <w:tcW w:w="2977" w:type="dxa"/>
                  <w:tcBorders>
                    <w:top w:val="single" w:color="000000" w:sz="4" w:space="0"/>
                    <w:left w:val="single" w:color="000000" w:sz="4" w:space="0"/>
                    <w:bottom w:val="single" w:color="000000" w:sz="4" w:space="0"/>
                    <w:right w:val="single" w:color="000000" w:sz="4" w:space="0"/>
                  </w:tcBorders>
                  <w:noWrap/>
                  <w:vAlign w:val="center"/>
                </w:tcPr>
                <w:p w14:paraId="6191C693">
                  <w:pPr>
                    <w:widowControl/>
                    <w:spacing w:line="240" w:lineRule="auto"/>
                    <w:ind w:firstLine="0" w:firstLineChars="0"/>
                    <w:jc w:val="center"/>
                    <w:rPr>
                      <w:rFonts w:ascii="Calibri" w:hAnsi="Calibri" w:cs="Calibri"/>
                      <w:color w:val="000000"/>
                      <w:kern w:val="0"/>
                    </w:rPr>
                  </w:pPr>
                  <w:r>
                    <w:rPr>
                      <w:rFonts w:hint="eastAsia" w:ascii="Calibri" w:hAnsi="Calibri" w:cs="Calibri"/>
                      <w:color w:val="000000"/>
                      <w:kern w:val="0"/>
                    </w:rPr>
                    <w:t>运动规划、轨迹生成、协调控制</w:t>
                  </w:r>
                </w:p>
              </w:tc>
              <w:tc>
                <w:tcPr>
                  <w:tcW w:w="2835" w:type="dxa"/>
                  <w:tcBorders>
                    <w:top w:val="single" w:color="000000" w:sz="4" w:space="0"/>
                    <w:left w:val="single" w:color="000000" w:sz="4" w:space="0"/>
                    <w:bottom w:val="single" w:color="000000" w:sz="4" w:space="0"/>
                    <w:right w:val="single" w:color="000000" w:sz="4" w:space="0"/>
                  </w:tcBorders>
                  <w:vAlign w:val="center"/>
                </w:tcPr>
                <w:p w14:paraId="307BD6A9">
                  <w:pPr>
                    <w:widowControl/>
                    <w:spacing w:line="240" w:lineRule="auto"/>
                    <w:ind w:firstLine="0" w:firstLineChars="0"/>
                    <w:jc w:val="center"/>
                    <w:rPr>
                      <w:rFonts w:ascii="Calibri" w:hAnsi="Calibri" w:cs="Calibri"/>
                      <w:color w:val="000000"/>
                      <w:kern w:val="0"/>
                    </w:rPr>
                  </w:pPr>
                  <w:r>
                    <w:rPr>
                      <w:rFonts w:hint="eastAsia" w:ascii="Calibri" w:hAnsi="Calibri" w:cs="Calibri"/>
                      <w:color w:val="000000"/>
                      <w:kern w:val="0"/>
                    </w:rPr>
                    <w:t>控制器、上位机、机器人</w:t>
                  </w:r>
                </w:p>
              </w:tc>
            </w:tr>
            <w:tr w14:paraId="45DC3924">
              <w:tblPrEx>
                <w:tblCellMar>
                  <w:top w:w="15" w:type="dxa"/>
                  <w:left w:w="108" w:type="dxa"/>
                  <w:bottom w:w="15" w:type="dxa"/>
                  <w:right w:w="108" w:type="dxa"/>
                </w:tblCellMar>
              </w:tblPrEx>
              <w:trPr>
                <w:trHeight w:val="330" w:hRule="atLeast"/>
              </w:trPr>
              <w:tc>
                <w:tcPr>
                  <w:tcW w:w="1777" w:type="dxa"/>
                  <w:tcBorders>
                    <w:top w:val="single" w:color="000000" w:sz="4" w:space="0"/>
                    <w:left w:val="single" w:color="000000" w:sz="4" w:space="0"/>
                    <w:bottom w:val="single" w:color="000000" w:sz="4" w:space="0"/>
                    <w:right w:val="single" w:color="000000" w:sz="4" w:space="0"/>
                  </w:tcBorders>
                  <w:vAlign w:val="center"/>
                </w:tcPr>
                <w:p w14:paraId="4987FDBB">
                  <w:pPr>
                    <w:widowControl/>
                    <w:spacing w:line="240" w:lineRule="auto"/>
                    <w:ind w:firstLine="0" w:firstLineChars="0"/>
                    <w:jc w:val="center"/>
                    <w:rPr>
                      <w:rFonts w:ascii="Calibri" w:hAnsi="Calibri" w:cs="Calibri"/>
                      <w:color w:val="000000"/>
                      <w:kern w:val="0"/>
                    </w:rPr>
                  </w:pPr>
                  <w:r>
                    <w:rPr>
                      <w:rFonts w:hint="eastAsia" w:ascii="Calibri" w:hAnsi="Calibri" w:cs="Calibri"/>
                      <w:color w:val="000000"/>
                      <w:kern w:val="0"/>
                    </w:rPr>
                    <w:t>任务管理</w:t>
                  </w:r>
                  <w:r>
                    <w:rPr>
                      <w:rFonts w:ascii="Calibri" w:hAnsi="Calibri" w:cs="Calibri"/>
                      <w:color w:val="000000"/>
                      <w:kern w:val="0"/>
                    </w:rPr>
                    <w:t>模块</w:t>
                  </w:r>
                </w:p>
              </w:tc>
              <w:tc>
                <w:tcPr>
                  <w:tcW w:w="2977" w:type="dxa"/>
                  <w:tcBorders>
                    <w:top w:val="single" w:color="000000" w:sz="4" w:space="0"/>
                    <w:left w:val="single" w:color="000000" w:sz="4" w:space="0"/>
                    <w:bottom w:val="single" w:color="000000" w:sz="4" w:space="0"/>
                    <w:right w:val="single" w:color="000000" w:sz="4" w:space="0"/>
                  </w:tcBorders>
                  <w:vAlign w:val="center"/>
                </w:tcPr>
                <w:p w14:paraId="011DBBE4">
                  <w:pPr>
                    <w:widowControl/>
                    <w:spacing w:line="240" w:lineRule="auto"/>
                    <w:ind w:firstLine="0" w:firstLineChars="0"/>
                    <w:jc w:val="center"/>
                    <w:rPr>
                      <w:rFonts w:ascii="Calibri" w:hAnsi="Calibri" w:cs="Calibri"/>
                      <w:color w:val="000000"/>
                      <w:kern w:val="0"/>
                    </w:rPr>
                  </w:pPr>
                  <w:r>
                    <w:rPr>
                      <w:rFonts w:hint="eastAsia" w:ascii="Calibri" w:hAnsi="Calibri" w:cs="Calibri"/>
                      <w:color w:val="000000"/>
                      <w:kern w:val="0"/>
                    </w:rPr>
                    <w:t>任务调度、任务监控、任务编辑</w:t>
                  </w:r>
                </w:p>
              </w:tc>
              <w:tc>
                <w:tcPr>
                  <w:tcW w:w="2835" w:type="dxa"/>
                  <w:tcBorders>
                    <w:top w:val="single" w:color="000000" w:sz="4" w:space="0"/>
                    <w:left w:val="single" w:color="000000" w:sz="4" w:space="0"/>
                    <w:bottom w:val="single" w:color="000000" w:sz="4" w:space="0"/>
                    <w:right w:val="single" w:color="000000" w:sz="4" w:space="0"/>
                  </w:tcBorders>
                  <w:vAlign w:val="center"/>
                </w:tcPr>
                <w:p w14:paraId="6CBDBBD8">
                  <w:pPr>
                    <w:widowControl/>
                    <w:ind w:firstLine="480"/>
                    <w:rPr>
                      <w:rFonts w:ascii="Calibri" w:hAnsi="Calibri" w:cs="Calibri"/>
                      <w:color w:val="000000"/>
                      <w:kern w:val="0"/>
                    </w:rPr>
                  </w:pPr>
                  <w:r>
                    <w:rPr>
                      <w:rFonts w:ascii="Calibri" w:hAnsi="Calibri" w:cs="Calibri"/>
                      <w:color w:val="000000"/>
                      <w:kern w:val="0"/>
                    </w:rPr>
                    <w:t>本地存储芯片</w:t>
                  </w:r>
                </w:p>
              </w:tc>
            </w:tr>
            <w:tr w14:paraId="5EFDF871">
              <w:tblPrEx>
                <w:tblCellMar>
                  <w:top w:w="15" w:type="dxa"/>
                  <w:left w:w="108" w:type="dxa"/>
                  <w:bottom w:w="15" w:type="dxa"/>
                  <w:right w:w="108" w:type="dxa"/>
                </w:tblCellMar>
              </w:tblPrEx>
              <w:trPr>
                <w:trHeight w:val="675" w:hRule="atLeast"/>
              </w:trPr>
              <w:tc>
                <w:tcPr>
                  <w:tcW w:w="1777" w:type="dxa"/>
                  <w:tcBorders>
                    <w:top w:val="single" w:color="000000" w:sz="4" w:space="0"/>
                    <w:left w:val="single" w:color="000000" w:sz="4" w:space="0"/>
                    <w:bottom w:val="single" w:color="000000" w:sz="4" w:space="0"/>
                    <w:right w:val="single" w:color="000000" w:sz="4" w:space="0"/>
                  </w:tcBorders>
                  <w:vAlign w:val="center"/>
                </w:tcPr>
                <w:p w14:paraId="2C890035">
                  <w:pPr>
                    <w:widowControl/>
                    <w:spacing w:line="240" w:lineRule="auto"/>
                    <w:ind w:firstLine="0" w:firstLineChars="0"/>
                    <w:jc w:val="center"/>
                    <w:rPr>
                      <w:rFonts w:ascii="Calibri" w:hAnsi="Calibri" w:cs="Calibri"/>
                      <w:color w:val="000000"/>
                      <w:kern w:val="0"/>
                    </w:rPr>
                  </w:pPr>
                  <w:r>
                    <w:rPr>
                      <w:rFonts w:hint="eastAsia" w:ascii="Calibri" w:hAnsi="Calibri" w:cs="Calibri"/>
                      <w:color w:val="000000"/>
                      <w:kern w:val="0"/>
                    </w:rPr>
                    <w:t>人机交互</w:t>
                  </w:r>
                  <w:r>
                    <w:rPr>
                      <w:rFonts w:ascii="Calibri" w:hAnsi="Calibri" w:cs="Calibri"/>
                      <w:color w:val="000000"/>
                      <w:kern w:val="0"/>
                    </w:rPr>
                    <w:t>模块</w:t>
                  </w:r>
                </w:p>
              </w:tc>
              <w:tc>
                <w:tcPr>
                  <w:tcW w:w="2977" w:type="dxa"/>
                  <w:tcBorders>
                    <w:top w:val="single" w:color="000000" w:sz="4" w:space="0"/>
                    <w:left w:val="single" w:color="000000" w:sz="4" w:space="0"/>
                    <w:bottom w:val="single" w:color="000000" w:sz="4" w:space="0"/>
                    <w:right w:val="single" w:color="000000" w:sz="4" w:space="0"/>
                  </w:tcBorders>
                  <w:vAlign w:val="center"/>
                </w:tcPr>
                <w:p w14:paraId="1ED9BAD6">
                  <w:pPr>
                    <w:widowControl/>
                    <w:spacing w:line="240" w:lineRule="auto"/>
                    <w:ind w:firstLine="0" w:firstLineChars="0"/>
                    <w:jc w:val="center"/>
                    <w:rPr>
                      <w:rFonts w:ascii="Calibri" w:hAnsi="Calibri" w:cs="Calibri"/>
                      <w:color w:val="000000"/>
                      <w:kern w:val="0"/>
                    </w:rPr>
                  </w:pPr>
                  <w:r>
                    <w:rPr>
                      <w:rFonts w:ascii="Calibri" w:hAnsi="Calibri" w:cs="Calibri"/>
                      <w:color w:val="000000"/>
                      <w:kern w:val="0"/>
                    </w:rPr>
                    <w:t>插补控制、速度规划算法实现、控制信号输出</w:t>
                  </w:r>
                </w:p>
              </w:tc>
              <w:tc>
                <w:tcPr>
                  <w:tcW w:w="2835" w:type="dxa"/>
                  <w:tcBorders>
                    <w:top w:val="single" w:color="000000" w:sz="4" w:space="0"/>
                    <w:left w:val="single" w:color="000000" w:sz="4" w:space="0"/>
                    <w:bottom w:val="single" w:color="000000" w:sz="4" w:space="0"/>
                    <w:right w:val="single" w:color="000000" w:sz="4" w:space="0"/>
                  </w:tcBorders>
                  <w:vAlign w:val="center"/>
                </w:tcPr>
                <w:p w14:paraId="21E16575">
                  <w:pPr>
                    <w:widowControl/>
                    <w:spacing w:line="240" w:lineRule="auto"/>
                    <w:ind w:firstLine="0" w:firstLineChars="0"/>
                    <w:jc w:val="center"/>
                    <w:rPr>
                      <w:rFonts w:ascii="Calibri" w:hAnsi="Calibri" w:cs="Calibri"/>
                      <w:color w:val="000000"/>
                      <w:kern w:val="0"/>
                    </w:rPr>
                  </w:pPr>
                  <w:r>
                    <w:rPr>
                      <w:rFonts w:hint="eastAsia" w:ascii="Calibri" w:hAnsi="Calibri" w:cs="Calibri"/>
                      <w:color w:val="000000"/>
                      <w:kern w:val="0"/>
                    </w:rPr>
                    <w:t>PC机、通信模块</w:t>
                  </w:r>
                </w:p>
              </w:tc>
            </w:tr>
          </w:tbl>
          <w:p w14:paraId="5030F711">
            <w:pPr>
              <w:tabs>
                <w:tab w:val="left" w:pos="420"/>
              </w:tabs>
              <w:ind w:firstLine="480"/>
              <w:rPr>
                <w:rFonts w:eastAsia="仿宋_GB2312"/>
              </w:rPr>
            </w:pPr>
            <w:r>
              <w:rPr>
                <w:rFonts w:hint="eastAsia" w:eastAsia="仿宋_GB2312"/>
              </w:rPr>
              <w:t>2.2.1 视觉处理模块</w:t>
            </w:r>
          </w:p>
          <w:p w14:paraId="01833639">
            <w:pPr>
              <w:tabs>
                <w:tab w:val="left" w:pos="420"/>
              </w:tabs>
              <w:ind w:firstLine="480"/>
              <w:rPr>
                <w:rFonts w:hint="eastAsia" w:ascii="宋体" w:hAnsi="宋体"/>
              </w:rPr>
            </w:pPr>
            <w:r>
              <w:rPr>
                <w:rFonts w:hint="eastAsia" w:ascii="宋体" w:hAnsi="宋体"/>
              </w:rPr>
              <w:t>负责与视觉硬件交互，采集装配环境图像数据，对图像进行预处理、特征提取、目标识别与定位等操作，将目标零件在图像中的位置与姿态信息转换为可供机器人理解的坐标数据，为机器人的精确操作提供视觉引导。</w:t>
            </w:r>
          </w:p>
          <w:p w14:paraId="21C3E387">
            <w:pPr>
              <w:tabs>
                <w:tab w:val="left" w:pos="420"/>
              </w:tabs>
              <w:ind w:firstLine="480"/>
              <w:rPr>
                <w:rFonts w:eastAsia="仿宋_GB2312"/>
              </w:rPr>
            </w:pPr>
            <w:r>
              <w:rPr>
                <w:rFonts w:hint="eastAsia" w:eastAsia="仿宋_GB2312"/>
              </w:rPr>
              <w:t>2.2.2 机器人控制模块</w:t>
            </w:r>
          </w:p>
          <w:p w14:paraId="72FC7C12">
            <w:pPr>
              <w:ind w:firstLine="480"/>
            </w:pPr>
            <w:r>
              <w:rPr>
                <w:rFonts w:hint="eastAsia"/>
              </w:rPr>
              <w:t>依据视觉处理模块传来的目标信息及装配任务要求，规划双机器人的运动路径，生成各关节运动轨迹指令，协调双机器人之间的动作配合以避免碰撞并实现高效协同作业，同时通过通信接口与上位机、视觉模块及电动夹爪等外部设备进行数据交互，控制机器人的整体运行与动作执行。</w:t>
            </w:r>
          </w:p>
          <w:p w14:paraId="5B30B590">
            <w:pPr>
              <w:tabs>
                <w:tab w:val="left" w:pos="420"/>
              </w:tabs>
              <w:ind w:firstLine="480"/>
              <w:rPr>
                <w:rFonts w:eastAsia="仿宋_GB2312"/>
              </w:rPr>
            </w:pPr>
            <w:r>
              <w:rPr>
                <w:rFonts w:hint="eastAsia" w:eastAsia="仿宋_GB2312"/>
              </w:rPr>
              <w:t>2.2.3 任务管理模块</w:t>
            </w:r>
          </w:p>
          <w:p w14:paraId="76B230A6">
            <w:pPr>
              <w:ind w:firstLine="480"/>
            </w:pPr>
            <w:r>
              <w:rPr>
                <w:rFonts w:hint="eastAsia"/>
              </w:rPr>
              <w:t>对装配任务进行分解、调度与分配，确定任务优先级、时间安排并将具体任务分配至双机器人。实时监控任务执行进度与机器人工作状态，及时发现异常并报警，同时提供可视化编辑界面以便操作人员根据生产需求调整任务内容与参数，生成任务执行报告用于生产管理与质量追溯。</w:t>
            </w:r>
          </w:p>
          <w:p w14:paraId="2D013A41">
            <w:pPr>
              <w:tabs>
                <w:tab w:val="left" w:pos="420"/>
              </w:tabs>
              <w:ind w:firstLine="480"/>
              <w:rPr>
                <w:rFonts w:eastAsia="仿宋_GB2312"/>
              </w:rPr>
            </w:pPr>
            <w:r>
              <w:rPr>
                <w:rFonts w:hint="eastAsia" w:eastAsia="仿宋_GB2312"/>
              </w:rPr>
              <w:t>2.2.4 人机交互模块</w:t>
            </w:r>
          </w:p>
          <w:p w14:paraId="2324A376">
            <w:pPr>
              <w:ind w:firstLine="480"/>
            </w:pPr>
            <w:r>
              <w:rPr>
                <w:rFonts w:hint="eastAsia"/>
              </w:rPr>
              <w:t>构建友好直观的操作界面，向操作人员展示生产线布局、机器人状态、视觉检测结果及任务进度等信息。实现数据的可视化展示与记录，支持数据导出，且依据用户角色分配不同操作权限，保障系统操作的安全性与规范性，方便操作人员对生产线进行有效控制与管理。</w:t>
            </w:r>
          </w:p>
          <w:p w14:paraId="4F9FA328">
            <w:pPr>
              <w:numPr>
                <w:ilvl w:val="1"/>
                <w:numId w:val="0"/>
              </w:numPr>
              <w:tabs>
                <w:tab w:val="left" w:pos="420"/>
              </w:tabs>
              <w:rPr>
                <w:rFonts w:eastAsia="仿宋_GB2312"/>
                <w:b/>
                <w:bCs/>
              </w:rPr>
            </w:pPr>
            <w:r>
              <w:rPr>
                <w:rFonts w:eastAsia="仿宋_GB2312"/>
                <w:b/>
                <w:bCs/>
              </w:rPr>
              <w:t>2.</w:t>
            </w:r>
            <w:r>
              <w:rPr>
                <w:rFonts w:hint="eastAsia" w:eastAsia="仿宋_GB2312"/>
                <w:b/>
                <w:bCs/>
              </w:rPr>
              <w:t>3技术路线</w:t>
            </w:r>
          </w:p>
          <w:p w14:paraId="3A4325B3">
            <w:pPr>
              <w:tabs>
                <w:tab w:val="left" w:pos="420"/>
              </w:tabs>
              <w:ind w:firstLine="480"/>
              <w:rPr>
                <w:rFonts w:hint="eastAsia" w:ascii="宋体" w:hAnsi="宋体"/>
              </w:rPr>
            </w:pPr>
            <w:r>
              <w:rPr>
                <w:rFonts w:hint="eastAsia" w:ascii="宋体" w:hAnsi="宋体"/>
              </w:rPr>
              <w:t>根据上述研究方案，确定了本文的技术路线：通过收集相关资料，对视觉处理算法、机器人控制算法、路径规划算法进行研究，并且开展基于机器视觉的零件尺寸测量与缺陷检测算法研究，深入研究双机器人协调控制算法，最后搭建实验软硬件平台进行技术验证。具体的技术路线内容如图2所示。</w:t>
            </w:r>
          </w:p>
          <w:p w14:paraId="47AD04E2">
            <w:pPr>
              <w:tabs>
                <w:tab w:val="left" w:pos="420"/>
              </w:tabs>
              <w:spacing w:line="240" w:lineRule="auto"/>
              <w:ind w:firstLine="0" w:firstLineChars="0"/>
              <w:jc w:val="center"/>
            </w:pPr>
            <w:r>
              <w:rPr>
                <w:rFonts w:hint="eastAsia"/>
              </w:rPr>
              <w:object>
                <v:shape id="_x0000_i1025" o:spt="75" type="#_x0000_t75" style="height:589.25pt;width:414.7pt;" o:ole="t" filled="f" o:preferrelative="t" stroked="f" coordsize="21600,21600">
                  <v:path/>
                  <v:fill on="f" focussize="0,0"/>
                  <v:stroke on="f" joinstyle="miter"/>
                  <v:imagedata r:id="rId16" o:title=""/>
                  <o:lock v:ext="edit" aspectratio="t"/>
                  <w10:wrap type="none"/>
                  <w10:anchorlock/>
                </v:shape>
                <o:OLEObject Type="Embed" ProgID="Visio.Drawing.15" ShapeID="_x0000_i1025" DrawAspect="Content" ObjectID="_1468075725" r:id="rId15">
                  <o:LockedField>false</o:LockedField>
                </o:OLEObject>
              </w:object>
            </w:r>
            <w:r>
              <w:rPr>
                <w:rFonts w:hint="eastAsia" w:ascii="微软雅黑" w:hAnsi="微软雅黑" w:eastAsia="微软雅黑"/>
                <w:sz w:val="18"/>
                <w:szCs w:val="18"/>
              </w:rPr>
              <w:t>图2</w:t>
            </w:r>
            <w:r>
              <w:rPr>
                <w:rFonts w:ascii="微软雅黑" w:hAnsi="微软雅黑" w:eastAsia="微软雅黑"/>
                <w:sz w:val="18"/>
                <w:szCs w:val="18"/>
              </w:rPr>
              <w:t xml:space="preserve"> </w:t>
            </w:r>
            <w:r>
              <w:rPr>
                <w:rFonts w:hint="eastAsia" w:ascii="微软雅黑" w:hAnsi="微软雅黑" w:eastAsia="微软雅黑"/>
                <w:sz w:val="18"/>
                <w:szCs w:val="18"/>
              </w:rPr>
              <w:t>技术路线</w:t>
            </w:r>
            <w:bookmarkStart w:id="5" w:name="_GoBack"/>
            <w:bookmarkEnd w:id="5"/>
          </w:p>
          <w:p w14:paraId="53A11CE1">
            <w:pPr>
              <w:numPr>
                <w:ilvl w:val="3"/>
                <w:numId w:val="0"/>
              </w:numPr>
              <w:tabs>
                <w:tab w:val="left" w:pos="420"/>
              </w:tabs>
              <w:spacing w:line="240" w:lineRule="auto"/>
              <w:rPr>
                <w:rFonts w:eastAsia="仿宋_GB2312"/>
                <w:b/>
                <w:bCs/>
                <w:sz w:val="28"/>
              </w:rPr>
            </w:pPr>
            <w:r>
              <w:rPr>
                <w:rFonts w:eastAsia="仿宋_GB2312"/>
                <w:b/>
                <w:bCs/>
                <w:sz w:val="28"/>
              </w:rPr>
              <w:t>3.</w:t>
            </w:r>
            <w:r>
              <w:rPr>
                <w:rFonts w:hint="eastAsia" w:eastAsia="仿宋_GB2312"/>
                <w:b/>
                <w:bCs/>
                <w:sz w:val="28"/>
              </w:rPr>
              <w:t>研究内容</w:t>
            </w:r>
          </w:p>
          <w:p w14:paraId="66DDC837">
            <w:pPr>
              <w:numPr>
                <w:ilvl w:val="0"/>
                <w:numId w:val="3"/>
              </w:numPr>
              <w:ind w:firstLineChars="0"/>
            </w:pPr>
            <w:r>
              <w:rPr>
                <w:rFonts w:hint="eastAsia"/>
              </w:rPr>
              <w:t>开发高效的图像处理算法，实现对装配零件的快速准确识别、定位和姿态估计。运用图像预处理技术，如灰度变换、滤波去噪、边缘增强等，提高图像质量，减少噪声和干扰对后续处理的影响。</w:t>
            </w:r>
          </w:p>
          <w:p w14:paraId="6556D612">
            <w:pPr>
              <w:numPr>
                <w:ilvl w:val="0"/>
                <w:numId w:val="3"/>
              </w:numPr>
              <w:ind w:firstLineChars="0"/>
            </w:pPr>
            <w:r>
              <w:rPr>
                <w:rFonts w:hint="eastAsia"/>
              </w:rPr>
              <w:t>采用特征提取算法，加速稳健特征（SURF），提取零件的关键特征，通过特征匹配实现零件的识别。</w:t>
            </w:r>
          </w:p>
          <w:p w14:paraId="4F5F668D">
            <w:pPr>
              <w:numPr>
                <w:ilvl w:val="0"/>
                <w:numId w:val="3"/>
              </w:numPr>
              <w:ind w:firstLineChars="0"/>
            </w:pPr>
            <w:r>
              <w:rPr>
                <w:rFonts w:hint="eastAsia"/>
              </w:rPr>
              <w:t>基于机器人运动学和动力学模型，设计双机器人的轨迹规划算法。考虑机器人的关节限制、工作空间、运动速度和加速度等约束条件，采用笛卡尔空间轨迹规划，生成平滑、无碰撞的运动轨迹。</w:t>
            </w:r>
          </w:p>
          <w:p w14:paraId="19EE0C49">
            <w:pPr>
              <w:numPr>
                <w:ilvl w:val="0"/>
                <w:numId w:val="3"/>
              </w:numPr>
              <w:ind w:firstLineChars="0"/>
            </w:pPr>
            <w:r>
              <w:rPr>
                <w:rFonts w:hint="eastAsia"/>
              </w:rPr>
              <w:t>研究基于视觉反馈的机器人控制方法，实现机器人的精确运动控制。将视觉系统获取的实时位置信息作为反馈信号，引入机器人的控制回路，采用视觉伺服控制技术，如位置视觉伺服、图像视觉伺服等，根据视觉误差调整机器人的运动，使机器人能够准确地跟踪目标位置。</w:t>
            </w:r>
          </w:p>
          <w:p w14:paraId="5C5A16EC">
            <w:pPr>
              <w:numPr>
                <w:ilvl w:val="0"/>
                <w:numId w:val="3"/>
              </w:numPr>
              <w:ind w:firstLineChars="0"/>
            </w:pPr>
            <w:r>
              <w:rPr>
                <w:rFonts w:hint="eastAsia"/>
              </w:rPr>
              <w:t>运动控制系统设计：研究硬件与软件平台的设计。包括硬件平台各个功能模块的选型与调试；软件平台研究对于各个硬件模块的控制原理及方法，以及对应的代码实现，编写上述算法的对应程序并实现应用，然后制定总体的控制流程以实现预期控制目标。</w:t>
            </w:r>
          </w:p>
          <w:p w14:paraId="072E43BD">
            <w:pPr>
              <w:numPr>
                <w:ilvl w:val="0"/>
                <w:numId w:val="3"/>
              </w:numPr>
              <w:ind w:firstLineChars="0"/>
              <w:rPr>
                <w:rFonts w:hint="eastAsia" w:ascii="宋体" w:hAnsi="宋体" w:cs="宋体"/>
                <w:szCs w:val="32"/>
              </w:rPr>
            </w:pPr>
            <w:r>
              <w:rPr>
                <w:rFonts w:hint="eastAsia"/>
              </w:rPr>
              <w:t>实验与验证：在实验软硬件平台的基础上，对理论研究部分的应用效果进行实验验证。</w:t>
            </w:r>
          </w:p>
        </w:tc>
      </w:tr>
      <w:tr w14:paraId="4F54B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85351A0">
            <w:pPr>
              <w:tabs>
                <w:tab w:val="left" w:pos="420"/>
              </w:tabs>
              <w:ind w:left="562" w:firstLine="560"/>
              <w:rPr>
                <w:rFonts w:eastAsia="仿宋_GB2312"/>
                <w:sz w:val="28"/>
              </w:rPr>
            </w:pPr>
            <w:bookmarkStart w:id="4" w:name="OLE_LINK3"/>
            <w:r>
              <w:rPr>
                <w:rFonts w:hint="eastAsia" w:eastAsia="仿宋_GB2312"/>
                <w:sz w:val="28"/>
              </w:rPr>
              <w:t>二、研究条件和可能存在的问题</w:t>
            </w:r>
          </w:p>
          <w:bookmarkEnd w:id="4"/>
          <w:p w14:paraId="0F6F55CC">
            <w:pPr>
              <w:numPr>
                <w:ilvl w:val="3"/>
                <w:numId w:val="0"/>
              </w:numPr>
              <w:tabs>
                <w:tab w:val="left" w:pos="420"/>
              </w:tabs>
              <w:ind w:left="440" w:firstLine="562" w:firstLineChars="200"/>
              <w:rPr>
                <w:rFonts w:eastAsia="仿宋_GB2312"/>
                <w:b/>
                <w:bCs/>
                <w:sz w:val="28"/>
              </w:rPr>
            </w:pPr>
            <w:r>
              <w:rPr>
                <w:rFonts w:eastAsia="仿宋_GB2312"/>
                <w:b/>
                <w:bCs/>
                <w:sz w:val="28"/>
              </w:rPr>
              <w:t>1.</w:t>
            </w:r>
            <w:r>
              <w:rPr>
                <w:rFonts w:hint="eastAsia" w:eastAsia="仿宋_GB2312"/>
                <w:b/>
                <w:bCs/>
                <w:sz w:val="28"/>
              </w:rPr>
              <w:t>研究条件</w:t>
            </w:r>
          </w:p>
          <w:p w14:paraId="3D3B3173">
            <w:pPr>
              <w:numPr>
                <w:ilvl w:val="0"/>
                <w:numId w:val="4"/>
              </w:numPr>
              <w:ind w:firstLine="480"/>
              <w:rPr>
                <w:rFonts w:hint="eastAsia" w:ascii="宋体" w:hAnsi="宋体" w:cs="宋体"/>
                <w:szCs w:val="32"/>
              </w:rPr>
            </w:pPr>
            <w:r>
              <w:rPr>
                <w:rFonts w:hint="eastAsia" w:ascii="宋体" w:hAnsi="宋体" w:cs="宋体"/>
                <w:szCs w:val="32"/>
              </w:rPr>
              <w:t>本课题组具有丰富的控制系统设计经验，对于本课题所涉及到的硬件、软件都有成熟的控制与设计理念和方案，并且后续会购买和设计配套的硬件系统，也能够为本课题提供参考与技术支持。</w:t>
            </w:r>
          </w:p>
          <w:p w14:paraId="22E4E76A">
            <w:pPr>
              <w:numPr>
                <w:ilvl w:val="0"/>
                <w:numId w:val="4"/>
              </w:numPr>
              <w:ind w:firstLine="480"/>
              <w:rPr>
                <w:rFonts w:hint="eastAsia" w:ascii="宋体" w:hAnsi="宋体" w:cs="宋体"/>
                <w:szCs w:val="32"/>
              </w:rPr>
            </w:pPr>
            <w:r>
              <w:rPr>
                <w:rFonts w:hint="eastAsia" w:ascii="宋体" w:hAnsi="宋体" w:cs="宋体"/>
                <w:szCs w:val="32"/>
              </w:rPr>
              <w:t>对于本课题中所涉及到的一系列算法，现有学者以及进行了大量的研究，提供了非常多的理论参考。另外本课题组也已经围绕此类系统进行了大量研究，这些研究成果也能够为本课题提供理论指导。</w:t>
            </w:r>
          </w:p>
          <w:p w14:paraId="428E90CB">
            <w:pPr>
              <w:numPr>
                <w:ilvl w:val="3"/>
                <w:numId w:val="0"/>
              </w:numPr>
              <w:tabs>
                <w:tab w:val="left" w:pos="420"/>
              </w:tabs>
              <w:ind w:left="440" w:firstLine="562" w:firstLineChars="200"/>
              <w:rPr>
                <w:rFonts w:eastAsia="仿宋_GB2312"/>
                <w:b/>
                <w:bCs/>
                <w:sz w:val="28"/>
              </w:rPr>
            </w:pPr>
            <w:r>
              <w:rPr>
                <w:rFonts w:eastAsia="仿宋_GB2312"/>
                <w:b/>
                <w:bCs/>
                <w:sz w:val="28"/>
              </w:rPr>
              <w:t>2.</w:t>
            </w:r>
            <w:r>
              <w:rPr>
                <w:rFonts w:hint="eastAsia" w:eastAsia="仿宋_GB2312"/>
                <w:b/>
                <w:bCs/>
                <w:sz w:val="28"/>
              </w:rPr>
              <w:t>可能存在的问题</w:t>
            </w:r>
          </w:p>
          <w:p w14:paraId="725599EE">
            <w:pPr>
              <w:numPr>
                <w:ilvl w:val="0"/>
                <w:numId w:val="5"/>
              </w:numPr>
              <w:ind w:firstLine="480"/>
              <w:rPr>
                <w:rFonts w:hint="eastAsia" w:ascii="宋体" w:hAnsi="宋体" w:cs="宋体"/>
                <w:szCs w:val="32"/>
              </w:rPr>
            </w:pPr>
            <w:r>
              <w:rPr>
                <w:rFonts w:hint="eastAsia" w:ascii="宋体" w:hAnsi="宋体" w:cs="宋体"/>
                <w:szCs w:val="32"/>
              </w:rPr>
              <w:t>实验环境与实际工业环境的差异。尽管实验室能够模拟一些装配生产线的工作场景，但与实际工业环境相比，仍存在一定的差距。在实际应用中，可能会面临更多的不确定性和干扰因素，需要在实验研究的基础上，进一步考虑实际工业环境的特点，对系统进行优化和改进，确保研究成果能够顺利应用于实际生产。</w:t>
            </w:r>
          </w:p>
          <w:p w14:paraId="58FF25A9">
            <w:pPr>
              <w:numPr>
                <w:ilvl w:val="0"/>
                <w:numId w:val="5"/>
              </w:numPr>
              <w:ind w:firstLine="480"/>
              <w:rPr>
                <w:rFonts w:hint="eastAsia" w:ascii="宋体" w:hAnsi="宋体" w:cs="宋体"/>
                <w:szCs w:val="32"/>
              </w:rPr>
            </w:pPr>
            <w:r>
              <w:rPr>
                <w:rFonts w:hint="eastAsia" w:ascii="宋体" w:hAnsi="宋体" w:cs="宋体"/>
                <w:szCs w:val="32"/>
              </w:rPr>
              <w:t>系统集成过程中的兼容性问题。在将机器视觉系统、双机器人控制系统和其他相关设备集成到一个统一的装配生产线控制系统时，可能会遇到硬件设备之间、软件模块之间的兼容性问题。需要花费大量时间和精力进行系统调试和优化，确保各个部分能够协同工作，稳定运行</w:t>
            </w:r>
          </w:p>
        </w:tc>
      </w:tr>
      <w:tr w14:paraId="72600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0A2834B">
            <w:pPr>
              <w:tabs>
                <w:tab w:val="left" w:pos="420"/>
              </w:tabs>
              <w:ind w:left="562" w:firstLine="560"/>
              <w:rPr>
                <w:rFonts w:eastAsia="仿宋_GB2312"/>
                <w:sz w:val="28"/>
              </w:rPr>
            </w:pPr>
            <w:r>
              <w:rPr>
                <w:rFonts w:hint="eastAsia" w:eastAsia="仿宋_GB2312"/>
                <w:sz w:val="28"/>
              </w:rPr>
              <w:t>三、预期的结果</w:t>
            </w:r>
          </w:p>
          <w:p w14:paraId="7593938F">
            <w:pPr>
              <w:numPr>
                <w:ilvl w:val="0"/>
                <w:numId w:val="6"/>
              </w:numPr>
              <w:ind w:firstLine="480"/>
              <w:rPr>
                <w:rFonts w:hint="eastAsia" w:ascii="宋体" w:hAnsi="宋体" w:cs="宋体"/>
                <w:szCs w:val="32"/>
              </w:rPr>
            </w:pPr>
            <w:r>
              <w:rPr>
                <w:rFonts w:hint="eastAsia" w:ascii="宋体" w:hAnsi="宋体" w:cs="宋体"/>
                <w:szCs w:val="32"/>
              </w:rPr>
              <w:t>构建一套稳定、可靠的机器视觉系统，能够准确识别和定位装配零件，为机器人提供精确的操作指令。</w:t>
            </w:r>
          </w:p>
          <w:p w14:paraId="3990C173">
            <w:pPr>
              <w:numPr>
                <w:ilvl w:val="0"/>
                <w:numId w:val="6"/>
              </w:numPr>
              <w:ind w:firstLine="480"/>
              <w:rPr>
                <w:rFonts w:hint="eastAsia" w:ascii="宋体" w:hAnsi="宋体" w:cs="宋体"/>
                <w:szCs w:val="32"/>
              </w:rPr>
            </w:pPr>
            <w:r>
              <w:rPr>
                <w:rFonts w:hint="eastAsia" w:ascii="宋体" w:hAnsi="宋体" w:cs="宋体"/>
                <w:szCs w:val="32"/>
              </w:rPr>
              <w:t>研究并开发双机器人协调控制策略，实现双机器人在装配过程中的高效协作，包括轨迹规划、运动控制、碰撞避免等功能。</w:t>
            </w:r>
          </w:p>
          <w:p w14:paraId="015A1865">
            <w:pPr>
              <w:numPr>
                <w:ilvl w:val="0"/>
                <w:numId w:val="6"/>
              </w:numPr>
              <w:ind w:firstLine="480"/>
              <w:rPr>
                <w:rFonts w:hint="eastAsia" w:ascii="宋体" w:hAnsi="宋体" w:cs="宋体"/>
                <w:szCs w:val="32"/>
              </w:rPr>
            </w:pPr>
            <w:r>
              <w:rPr>
                <w:rFonts w:hint="eastAsia" w:ascii="宋体" w:hAnsi="宋体" w:cs="宋体"/>
                <w:szCs w:val="32"/>
              </w:rPr>
              <w:t>设计并实现装配生产线控制系统的软件平台，集成机器视觉系统和双机器人控制系统，实现数据的实时处理和系统的协同工作</w:t>
            </w:r>
          </w:p>
          <w:p w14:paraId="78669655">
            <w:pPr>
              <w:ind w:firstLine="480"/>
              <w:rPr>
                <w:rFonts w:hint="eastAsia" w:ascii="宋体" w:hAnsi="宋体" w:cs="宋体"/>
                <w:szCs w:val="32"/>
              </w:rPr>
            </w:pPr>
            <w:r>
              <w:rPr>
                <w:rFonts w:hint="eastAsia" w:ascii="宋体" w:hAnsi="宋体" w:cs="宋体"/>
                <w:szCs w:val="32"/>
              </w:rPr>
              <w:t>完成软硬件平台的设计与实现，通过实验验证和实际应用，评估所开发系统的性能和效果，对系统进行优化和改进，提高装配生产线的整体自动化水平和生产效率。</w:t>
            </w:r>
          </w:p>
          <w:p w14:paraId="12A22B33">
            <w:pPr>
              <w:ind w:firstLine="480"/>
              <w:rPr>
                <w:rFonts w:hint="eastAsia" w:ascii="宋体" w:hAnsi="宋体" w:cs="宋体"/>
                <w:szCs w:val="32"/>
              </w:rPr>
            </w:pPr>
          </w:p>
        </w:tc>
      </w:tr>
      <w:bookmarkEnd w:id="2"/>
      <w:tr w14:paraId="3EF4E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9EC4C7E">
            <w:pPr>
              <w:tabs>
                <w:tab w:val="left" w:pos="420"/>
              </w:tabs>
              <w:spacing w:line="240" w:lineRule="auto"/>
              <w:ind w:firstLine="0" w:firstLineChars="0"/>
              <w:rPr>
                <w:rFonts w:eastAsia="仿宋_GB2312"/>
                <w:sz w:val="28"/>
              </w:rPr>
            </w:pPr>
            <w:r>
              <w:rPr>
                <w:rFonts w:hint="eastAsia" w:eastAsia="仿宋_GB2312"/>
                <w:sz w:val="28"/>
              </w:rPr>
              <w:t>四、进度安排</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5"/>
              <w:gridCol w:w="4146"/>
            </w:tblGrid>
            <w:tr w14:paraId="4CE91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4145" w:type="dxa"/>
                  <w:shd w:val="clear" w:color="auto" w:fill="auto"/>
                  <w:vAlign w:val="center"/>
                </w:tcPr>
                <w:p w14:paraId="293F7D14">
                  <w:pPr>
                    <w:tabs>
                      <w:tab w:val="left" w:pos="420"/>
                    </w:tabs>
                    <w:spacing w:line="240" w:lineRule="auto"/>
                    <w:ind w:firstLine="0" w:firstLineChars="0"/>
                    <w:jc w:val="center"/>
                    <w:rPr>
                      <w:rFonts w:hint="eastAsia" w:ascii="宋体" w:hAnsi="宋体" w:cs="宋体"/>
                      <w:szCs w:val="32"/>
                    </w:rPr>
                  </w:pPr>
                  <w:r>
                    <w:rPr>
                      <w:rFonts w:hint="eastAsia" w:ascii="宋体" w:hAnsi="宋体" w:cs="宋体"/>
                      <w:szCs w:val="32"/>
                    </w:rPr>
                    <w:t>2</w:t>
                  </w:r>
                  <w:r>
                    <w:rPr>
                      <w:rFonts w:ascii="宋体" w:hAnsi="宋体" w:cs="宋体"/>
                      <w:szCs w:val="32"/>
                    </w:rPr>
                    <w:t>02</w:t>
                  </w:r>
                  <w:r>
                    <w:rPr>
                      <w:rFonts w:hint="eastAsia" w:ascii="宋体" w:hAnsi="宋体" w:cs="宋体"/>
                      <w:szCs w:val="32"/>
                    </w:rPr>
                    <w:t>4年1</w:t>
                  </w:r>
                  <w:r>
                    <w:rPr>
                      <w:rFonts w:ascii="宋体" w:hAnsi="宋体" w:cs="宋体"/>
                      <w:szCs w:val="32"/>
                    </w:rPr>
                    <w:t>2</w:t>
                  </w:r>
                  <w:r>
                    <w:rPr>
                      <w:rFonts w:hint="eastAsia" w:ascii="宋体" w:hAnsi="宋体" w:cs="宋体"/>
                      <w:szCs w:val="32"/>
                    </w:rPr>
                    <w:t>月—2</w:t>
                  </w:r>
                  <w:r>
                    <w:rPr>
                      <w:rFonts w:ascii="宋体" w:hAnsi="宋体" w:cs="宋体"/>
                      <w:szCs w:val="32"/>
                    </w:rPr>
                    <w:t>02</w:t>
                  </w:r>
                  <w:r>
                    <w:rPr>
                      <w:rFonts w:hint="eastAsia" w:ascii="宋体" w:hAnsi="宋体" w:cs="宋体"/>
                      <w:szCs w:val="32"/>
                    </w:rPr>
                    <w:t>5年04月</w:t>
                  </w:r>
                </w:p>
              </w:tc>
              <w:tc>
                <w:tcPr>
                  <w:tcW w:w="4146" w:type="dxa"/>
                  <w:shd w:val="clear" w:color="auto" w:fill="auto"/>
                  <w:vAlign w:val="center"/>
                </w:tcPr>
                <w:p w14:paraId="03AE330C">
                  <w:pPr>
                    <w:tabs>
                      <w:tab w:val="left" w:pos="420"/>
                    </w:tabs>
                    <w:spacing w:line="240" w:lineRule="auto"/>
                    <w:ind w:firstLine="0" w:firstLineChars="0"/>
                    <w:rPr>
                      <w:rFonts w:hint="eastAsia" w:ascii="宋体" w:hAnsi="宋体" w:cs="宋体"/>
                      <w:szCs w:val="32"/>
                    </w:rPr>
                  </w:pPr>
                  <w:r>
                    <w:rPr>
                      <w:rFonts w:hint="eastAsia" w:ascii="宋体" w:hAnsi="宋体" w:cs="宋体"/>
                      <w:szCs w:val="32"/>
                    </w:rPr>
                    <w:t>完成视觉识别算法和定位算法的研究</w:t>
                  </w:r>
                </w:p>
              </w:tc>
            </w:tr>
            <w:tr w14:paraId="62C80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4145" w:type="dxa"/>
                  <w:shd w:val="clear" w:color="auto" w:fill="auto"/>
                  <w:vAlign w:val="center"/>
                </w:tcPr>
                <w:p w14:paraId="24503F0D">
                  <w:pPr>
                    <w:tabs>
                      <w:tab w:val="left" w:pos="420"/>
                    </w:tabs>
                    <w:spacing w:line="240" w:lineRule="auto"/>
                    <w:ind w:firstLine="0" w:firstLineChars="0"/>
                    <w:jc w:val="center"/>
                    <w:rPr>
                      <w:rFonts w:hint="eastAsia" w:ascii="宋体" w:hAnsi="宋体" w:cs="宋体"/>
                      <w:szCs w:val="32"/>
                    </w:rPr>
                  </w:pPr>
                  <w:r>
                    <w:rPr>
                      <w:rFonts w:hint="eastAsia" w:ascii="宋体" w:hAnsi="宋体" w:cs="宋体"/>
                      <w:szCs w:val="32"/>
                    </w:rPr>
                    <w:t>2</w:t>
                  </w:r>
                  <w:r>
                    <w:rPr>
                      <w:rFonts w:ascii="宋体" w:hAnsi="宋体" w:cs="宋体"/>
                      <w:szCs w:val="32"/>
                    </w:rPr>
                    <w:t>02</w:t>
                  </w:r>
                  <w:r>
                    <w:rPr>
                      <w:rFonts w:hint="eastAsia" w:ascii="宋体" w:hAnsi="宋体" w:cs="宋体"/>
                      <w:szCs w:val="32"/>
                    </w:rPr>
                    <w:t>5年0</w:t>
                  </w:r>
                  <w:r>
                    <w:rPr>
                      <w:rFonts w:ascii="宋体" w:hAnsi="宋体" w:cs="宋体"/>
                      <w:szCs w:val="32"/>
                    </w:rPr>
                    <w:t>4</w:t>
                  </w:r>
                  <w:r>
                    <w:rPr>
                      <w:rFonts w:hint="eastAsia" w:ascii="宋体" w:hAnsi="宋体" w:cs="宋体"/>
                      <w:szCs w:val="32"/>
                    </w:rPr>
                    <w:t>月—2</w:t>
                  </w:r>
                  <w:r>
                    <w:rPr>
                      <w:rFonts w:ascii="宋体" w:hAnsi="宋体" w:cs="宋体"/>
                      <w:szCs w:val="32"/>
                    </w:rPr>
                    <w:t>02</w:t>
                  </w:r>
                  <w:r>
                    <w:rPr>
                      <w:rFonts w:hint="eastAsia" w:ascii="宋体" w:hAnsi="宋体" w:cs="宋体"/>
                      <w:szCs w:val="32"/>
                    </w:rPr>
                    <w:t>5年0</w:t>
                  </w:r>
                  <w:r>
                    <w:rPr>
                      <w:rFonts w:ascii="宋体" w:hAnsi="宋体" w:cs="宋体"/>
                      <w:szCs w:val="32"/>
                    </w:rPr>
                    <w:t>6</w:t>
                  </w:r>
                  <w:r>
                    <w:rPr>
                      <w:rFonts w:hint="eastAsia" w:ascii="宋体" w:hAnsi="宋体" w:cs="宋体"/>
                      <w:szCs w:val="32"/>
                    </w:rPr>
                    <w:t>月</w:t>
                  </w:r>
                </w:p>
              </w:tc>
              <w:tc>
                <w:tcPr>
                  <w:tcW w:w="4146" w:type="dxa"/>
                  <w:shd w:val="clear" w:color="auto" w:fill="auto"/>
                  <w:vAlign w:val="center"/>
                </w:tcPr>
                <w:p w14:paraId="358FA55F">
                  <w:pPr>
                    <w:tabs>
                      <w:tab w:val="left" w:pos="420"/>
                    </w:tabs>
                    <w:spacing w:line="240" w:lineRule="auto"/>
                    <w:ind w:firstLine="0" w:firstLineChars="0"/>
                    <w:rPr>
                      <w:rFonts w:hint="eastAsia" w:ascii="宋体" w:hAnsi="宋体" w:cs="宋体"/>
                      <w:szCs w:val="32"/>
                    </w:rPr>
                  </w:pPr>
                  <w:r>
                    <w:rPr>
                      <w:rFonts w:hint="eastAsia" w:ascii="宋体" w:hAnsi="宋体" w:cs="宋体"/>
                      <w:szCs w:val="32"/>
                    </w:rPr>
                    <w:t>完成双机器人的协调控制算法的研究</w:t>
                  </w:r>
                </w:p>
              </w:tc>
            </w:tr>
            <w:tr w14:paraId="5ED32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4145" w:type="dxa"/>
                  <w:shd w:val="clear" w:color="auto" w:fill="auto"/>
                  <w:vAlign w:val="center"/>
                </w:tcPr>
                <w:p w14:paraId="2F4A73CF">
                  <w:pPr>
                    <w:tabs>
                      <w:tab w:val="left" w:pos="420"/>
                    </w:tabs>
                    <w:spacing w:line="240" w:lineRule="auto"/>
                    <w:ind w:firstLine="0" w:firstLineChars="0"/>
                    <w:jc w:val="center"/>
                    <w:rPr>
                      <w:rFonts w:hint="eastAsia" w:ascii="宋体" w:hAnsi="宋体" w:cs="宋体"/>
                      <w:szCs w:val="32"/>
                    </w:rPr>
                  </w:pPr>
                  <w:r>
                    <w:rPr>
                      <w:rFonts w:hint="eastAsia" w:ascii="宋体" w:hAnsi="宋体" w:cs="宋体"/>
                      <w:szCs w:val="32"/>
                    </w:rPr>
                    <w:t>2</w:t>
                  </w:r>
                  <w:r>
                    <w:rPr>
                      <w:rFonts w:ascii="宋体" w:hAnsi="宋体" w:cs="宋体"/>
                      <w:szCs w:val="32"/>
                    </w:rPr>
                    <w:t>02</w:t>
                  </w:r>
                  <w:r>
                    <w:rPr>
                      <w:rFonts w:hint="eastAsia" w:ascii="宋体" w:hAnsi="宋体" w:cs="宋体"/>
                      <w:szCs w:val="32"/>
                    </w:rPr>
                    <w:t>5年0</w:t>
                  </w:r>
                  <w:r>
                    <w:rPr>
                      <w:rFonts w:ascii="宋体" w:hAnsi="宋体" w:cs="宋体"/>
                      <w:szCs w:val="32"/>
                    </w:rPr>
                    <w:t>6</w:t>
                  </w:r>
                  <w:r>
                    <w:rPr>
                      <w:rFonts w:hint="eastAsia" w:ascii="宋体" w:hAnsi="宋体" w:cs="宋体"/>
                      <w:szCs w:val="32"/>
                    </w:rPr>
                    <w:t>月—2</w:t>
                  </w:r>
                  <w:r>
                    <w:rPr>
                      <w:rFonts w:ascii="宋体" w:hAnsi="宋体" w:cs="宋体"/>
                      <w:szCs w:val="32"/>
                    </w:rPr>
                    <w:t>02</w:t>
                  </w:r>
                  <w:r>
                    <w:rPr>
                      <w:rFonts w:hint="eastAsia" w:ascii="宋体" w:hAnsi="宋体" w:cs="宋体"/>
                      <w:szCs w:val="32"/>
                    </w:rPr>
                    <w:t>5年0</w:t>
                  </w:r>
                  <w:r>
                    <w:rPr>
                      <w:rFonts w:ascii="宋体" w:hAnsi="宋体" w:cs="宋体"/>
                      <w:szCs w:val="32"/>
                    </w:rPr>
                    <w:t>8</w:t>
                  </w:r>
                  <w:r>
                    <w:rPr>
                      <w:rFonts w:hint="eastAsia" w:ascii="宋体" w:hAnsi="宋体" w:cs="宋体"/>
                      <w:szCs w:val="32"/>
                    </w:rPr>
                    <w:t>月</w:t>
                  </w:r>
                </w:p>
              </w:tc>
              <w:tc>
                <w:tcPr>
                  <w:tcW w:w="4146" w:type="dxa"/>
                  <w:shd w:val="clear" w:color="auto" w:fill="auto"/>
                  <w:vAlign w:val="center"/>
                </w:tcPr>
                <w:p w14:paraId="56498DD6">
                  <w:pPr>
                    <w:tabs>
                      <w:tab w:val="left" w:pos="420"/>
                    </w:tabs>
                    <w:spacing w:line="240" w:lineRule="auto"/>
                    <w:ind w:firstLine="0" w:firstLineChars="0"/>
                    <w:rPr>
                      <w:rFonts w:hint="eastAsia" w:ascii="宋体" w:hAnsi="宋体" w:cs="宋体"/>
                      <w:szCs w:val="32"/>
                    </w:rPr>
                  </w:pPr>
                  <w:r>
                    <w:rPr>
                      <w:rFonts w:hint="eastAsia" w:ascii="宋体" w:hAnsi="宋体" w:cs="宋体"/>
                      <w:szCs w:val="32"/>
                    </w:rPr>
                    <w:t>完成视觉融合协调控制算法的改进</w:t>
                  </w:r>
                </w:p>
              </w:tc>
            </w:tr>
            <w:tr w14:paraId="0D932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4145" w:type="dxa"/>
                  <w:shd w:val="clear" w:color="auto" w:fill="auto"/>
                  <w:vAlign w:val="center"/>
                </w:tcPr>
                <w:p w14:paraId="65DBB20A">
                  <w:pPr>
                    <w:tabs>
                      <w:tab w:val="left" w:pos="420"/>
                    </w:tabs>
                    <w:spacing w:line="240" w:lineRule="auto"/>
                    <w:ind w:firstLine="0" w:firstLineChars="0"/>
                    <w:jc w:val="center"/>
                    <w:rPr>
                      <w:rFonts w:hint="eastAsia" w:ascii="宋体" w:hAnsi="宋体" w:cs="宋体"/>
                      <w:szCs w:val="32"/>
                    </w:rPr>
                  </w:pPr>
                  <w:r>
                    <w:rPr>
                      <w:rFonts w:hint="eastAsia" w:ascii="宋体" w:hAnsi="宋体" w:cs="宋体"/>
                      <w:szCs w:val="32"/>
                    </w:rPr>
                    <w:t>2</w:t>
                  </w:r>
                  <w:r>
                    <w:rPr>
                      <w:rFonts w:ascii="宋体" w:hAnsi="宋体" w:cs="宋体"/>
                      <w:szCs w:val="32"/>
                    </w:rPr>
                    <w:t>02</w:t>
                  </w:r>
                  <w:r>
                    <w:rPr>
                      <w:rFonts w:hint="eastAsia" w:ascii="宋体" w:hAnsi="宋体" w:cs="宋体"/>
                      <w:szCs w:val="32"/>
                    </w:rPr>
                    <w:t>5年0</w:t>
                  </w:r>
                  <w:r>
                    <w:rPr>
                      <w:rFonts w:ascii="宋体" w:hAnsi="宋体" w:cs="宋体"/>
                      <w:szCs w:val="32"/>
                    </w:rPr>
                    <w:t>8</w:t>
                  </w:r>
                  <w:r>
                    <w:rPr>
                      <w:rFonts w:hint="eastAsia" w:ascii="宋体" w:hAnsi="宋体" w:cs="宋体"/>
                      <w:szCs w:val="32"/>
                    </w:rPr>
                    <w:t>月—2</w:t>
                  </w:r>
                  <w:r>
                    <w:rPr>
                      <w:rFonts w:ascii="宋体" w:hAnsi="宋体" w:cs="宋体"/>
                      <w:szCs w:val="32"/>
                    </w:rPr>
                    <w:t>0</w:t>
                  </w:r>
                  <w:r>
                    <w:rPr>
                      <w:rFonts w:hint="eastAsia" w:ascii="宋体" w:hAnsi="宋体" w:cs="宋体"/>
                      <w:szCs w:val="32"/>
                    </w:rPr>
                    <w:t>25年1</w:t>
                  </w:r>
                  <w:r>
                    <w:rPr>
                      <w:rFonts w:ascii="宋体" w:hAnsi="宋体" w:cs="宋体"/>
                      <w:szCs w:val="32"/>
                    </w:rPr>
                    <w:t>0</w:t>
                  </w:r>
                  <w:r>
                    <w:rPr>
                      <w:rFonts w:hint="eastAsia" w:ascii="宋体" w:hAnsi="宋体" w:cs="宋体"/>
                      <w:szCs w:val="32"/>
                    </w:rPr>
                    <w:t>月</w:t>
                  </w:r>
                </w:p>
              </w:tc>
              <w:tc>
                <w:tcPr>
                  <w:tcW w:w="4146" w:type="dxa"/>
                  <w:shd w:val="clear" w:color="auto" w:fill="auto"/>
                  <w:vAlign w:val="center"/>
                </w:tcPr>
                <w:p w14:paraId="384A184D">
                  <w:pPr>
                    <w:tabs>
                      <w:tab w:val="left" w:pos="420"/>
                    </w:tabs>
                    <w:spacing w:line="240" w:lineRule="auto"/>
                    <w:ind w:firstLine="0" w:firstLineChars="0"/>
                    <w:rPr>
                      <w:rFonts w:hint="eastAsia" w:ascii="宋体" w:hAnsi="宋体" w:cs="宋体"/>
                      <w:szCs w:val="32"/>
                    </w:rPr>
                  </w:pPr>
                  <w:r>
                    <w:rPr>
                      <w:rFonts w:hint="eastAsia" w:ascii="宋体" w:hAnsi="宋体" w:cs="宋体"/>
                      <w:szCs w:val="32"/>
                    </w:rPr>
                    <w:t>完成融合视觉的双机器人的软硬件设计</w:t>
                  </w:r>
                </w:p>
              </w:tc>
            </w:tr>
            <w:tr w14:paraId="1270B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4145" w:type="dxa"/>
                  <w:shd w:val="clear" w:color="auto" w:fill="auto"/>
                  <w:vAlign w:val="center"/>
                </w:tcPr>
                <w:p w14:paraId="613F997B">
                  <w:pPr>
                    <w:tabs>
                      <w:tab w:val="left" w:pos="420"/>
                    </w:tabs>
                    <w:spacing w:line="240" w:lineRule="auto"/>
                    <w:ind w:firstLine="0" w:firstLineChars="0"/>
                    <w:jc w:val="center"/>
                    <w:rPr>
                      <w:rFonts w:hint="eastAsia" w:ascii="宋体" w:hAnsi="宋体" w:cs="宋体"/>
                      <w:szCs w:val="32"/>
                    </w:rPr>
                  </w:pPr>
                  <w:r>
                    <w:rPr>
                      <w:rFonts w:hint="eastAsia" w:ascii="宋体" w:hAnsi="宋体" w:cs="宋体"/>
                      <w:szCs w:val="32"/>
                    </w:rPr>
                    <w:t>2</w:t>
                  </w:r>
                  <w:r>
                    <w:rPr>
                      <w:rFonts w:ascii="宋体" w:hAnsi="宋体" w:cs="宋体"/>
                      <w:szCs w:val="32"/>
                    </w:rPr>
                    <w:t>02</w:t>
                  </w:r>
                  <w:r>
                    <w:rPr>
                      <w:rFonts w:hint="eastAsia" w:ascii="宋体" w:hAnsi="宋体" w:cs="宋体"/>
                      <w:szCs w:val="32"/>
                    </w:rPr>
                    <w:t>5年1</w:t>
                  </w:r>
                  <w:r>
                    <w:rPr>
                      <w:rFonts w:ascii="宋体" w:hAnsi="宋体" w:cs="宋体"/>
                      <w:szCs w:val="32"/>
                    </w:rPr>
                    <w:t>0</w:t>
                  </w:r>
                  <w:r>
                    <w:rPr>
                      <w:rFonts w:hint="eastAsia" w:ascii="宋体" w:hAnsi="宋体" w:cs="宋体"/>
                      <w:szCs w:val="32"/>
                    </w:rPr>
                    <w:t>月—2</w:t>
                  </w:r>
                  <w:r>
                    <w:rPr>
                      <w:rFonts w:ascii="宋体" w:hAnsi="宋体" w:cs="宋体"/>
                      <w:szCs w:val="32"/>
                    </w:rPr>
                    <w:t>02</w:t>
                  </w:r>
                  <w:r>
                    <w:rPr>
                      <w:rFonts w:hint="eastAsia" w:ascii="宋体" w:hAnsi="宋体" w:cs="宋体"/>
                      <w:szCs w:val="32"/>
                    </w:rPr>
                    <w:t>5年1</w:t>
                  </w:r>
                  <w:r>
                    <w:rPr>
                      <w:rFonts w:ascii="宋体" w:hAnsi="宋体" w:cs="宋体"/>
                      <w:szCs w:val="32"/>
                    </w:rPr>
                    <w:t>2</w:t>
                  </w:r>
                  <w:r>
                    <w:rPr>
                      <w:rFonts w:hint="eastAsia" w:ascii="宋体" w:hAnsi="宋体" w:cs="宋体"/>
                      <w:szCs w:val="32"/>
                    </w:rPr>
                    <w:t>月</w:t>
                  </w:r>
                </w:p>
              </w:tc>
              <w:tc>
                <w:tcPr>
                  <w:tcW w:w="4146" w:type="dxa"/>
                  <w:shd w:val="clear" w:color="auto" w:fill="auto"/>
                  <w:vAlign w:val="center"/>
                </w:tcPr>
                <w:p w14:paraId="5FEFED55">
                  <w:pPr>
                    <w:tabs>
                      <w:tab w:val="left" w:pos="420"/>
                    </w:tabs>
                    <w:spacing w:line="240" w:lineRule="auto"/>
                    <w:ind w:firstLine="0" w:firstLineChars="0"/>
                    <w:rPr>
                      <w:rFonts w:hint="eastAsia" w:ascii="宋体" w:hAnsi="宋体" w:cs="宋体"/>
                      <w:szCs w:val="32"/>
                    </w:rPr>
                  </w:pPr>
                  <w:r>
                    <w:rPr>
                      <w:rFonts w:hint="eastAsia" w:ascii="宋体" w:hAnsi="宋体" w:cs="宋体"/>
                      <w:szCs w:val="32"/>
                    </w:rPr>
                    <w:t>搭建硬件平台，编写软件代码</w:t>
                  </w:r>
                </w:p>
              </w:tc>
            </w:tr>
            <w:tr w14:paraId="6F9A9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4145" w:type="dxa"/>
                  <w:shd w:val="clear" w:color="auto" w:fill="auto"/>
                  <w:vAlign w:val="center"/>
                </w:tcPr>
                <w:p w14:paraId="08B8B005">
                  <w:pPr>
                    <w:tabs>
                      <w:tab w:val="left" w:pos="420"/>
                    </w:tabs>
                    <w:spacing w:line="240" w:lineRule="auto"/>
                    <w:ind w:firstLine="0" w:firstLineChars="0"/>
                    <w:jc w:val="center"/>
                    <w:rPr>
                      <w:rFonts w:hint="eastAsia" w:ascii="宋体" w:hAnsi="宋体" w:cs="宋体"/>
                      <w:szCs w:val="32"/>
                    </w:rPr>
                  </w:pPr>
                  <w:r>
                    <w:rPr>
                      <w:rFonts w:hint="eastAsia" w:ascii="宋体" w:hAnsi="宋体" w:cs="宋体"/>
                      <w:szCs w:val="32"/>
                    </w:rPr>
                    <w:t>2</w:t>
                  </w:r>
                  <w:r>
                    <w:rPr>
                      <w:rFonts w:ascii="宋体" w:hAnsi="宋体" w:cs="宋体"/>
                      <w:szCs w:val="32"/>
                    </w:rPr>
                    <w:t>02</w:t>
                  </w:r>
                  <w:r>
                    <w:rPr>
                      <w:rFonts w:hint="eastAsia" w:ascii="宋体" w:hAnsi="宋体" w:cs="宋体"/>
                      <w:szCs w:val="32"/>
                    </w:rPr>
                    <w:t>5年1</w:t>
                  </w:r>
                  <w:r>
                    <w:rPr>
                      <w:rFonts w:ascii="宋体" w:hAnsi="宋体" w:cs="宋体"/>
                      <w:szCs w:val="32"/>
                    </w:rPr>
                    <w:t>2</w:t>
                  </w:r>
                  <w:r>
                    <w:rPr>
                      <w:rFonts w:hint="eastAsia" w:ascii="宋体" w:hAnsi="宋体" w:cs="宋体"/>
                      <w:szCs w:val="32"/>
                    </w:rPr>
                    <w:t>月—2</w:t>
                  </w:r>
                  <w:r>
                    <w:rPr>
                      <w:rFonts w:ascii="宋体" w:hAnsi="宋体" w:cs="宋体"/>
                      <w:szCs w:val="32"/>
                    </w:rPr>
                    <w:t>02</w:t>
                  </w:r>
                  <w:r>
                    <w:rPr>
                      <w:rFonts w:hint="eastAsia" w:ascii="宋体" w:hAnsi="宋体" w:cs="宋体"/>
                      <w:szCs w:val="32"/>
                    </w:rPr>
                    <w:t>6年0</w:t>
                  </w:r>
                  <w:r>
                    <w:rPr>
                      <w:rFonts w:ascii="宋体" w:hAnsi="宋体" w:cs="宋体"/>
                      <w:szCs w:val="32"/>
                    </w:rPr>
                    <w:t>3</w:t>
                  </w:r>
                  <w:r>
                    <w:rPr>
                      <w:rFonts w:hint="eastAsia" w:ascii="宋体" w:hAnsi="宋体" w:cs="宋体"/>
                      <w:szCs w:val="32"/>
                    </w:rPr>
                    <w:t>月</w:t>
                  </w:r>
                </w:p>
              </w:tc>
              <w:tc>
                <w:tcPr>
                  <w:tcW w:w="4146" w:type="dxa"/>
                  <w:shd w:val="clear" w:color="auto" w:fill="auto"/>
                  <w:vAlign w:val="center"/>
                </w:tcPr>
                <w:p w14:paraId="30455A01">
                  <w:pPr>
                    <w:tabs>
                      <w:tab w:val="left" w:pos="420"/>
                    </w:tabs>
                    <w:spacing w:line="240" w:lineRule="auto"/>
                    <w:ind w:firstLine="0" w:firstLineChars="0"/>
                    <w:rPr>
                      <w:rFonts w:hint="eastAsia" w:ascii="宋体" w:hAnsi="宋体" w:cs="宋体"/>
                      <w:szCs w:val="32"/>
                    </w:rPr>
                  </w:pPr>
                  <w:r>
                    <w:rPr>
                      <w:rFonts w:hint="eastAsia" w:ascii="宋体" w:hAnsi="宋体" w:cs="宋体"/>
                      <w:szCs w:val="32"/>
                    </w:rPr>
                    <w:t>收集实验数据，完成论文撰写</w:t>
                  </w:r>
                </w:p>
              </w:tc>
            </w:tr>
          </w:tbl>
          <w:p w14:paraId="18779752">
            <w:pPr>
              <w:tabs>
                <w:tab w:val="left" w:pos="420"/>
              </w:tabs>
              <w:ind w:firstLine="360"/>
              <w:rPr>
                <w:rFonts w:eastAsia="仿宋_GB2312"/>
                <w:sz w:val="18"/>
                <w:szCs w:val="18"/>
              </w:rPr>
            </w:pPr>
          </w:p>
        </w:tc>
      </w:tr>
      <w:tr w14:paraId="7F0B2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4E81A0B">
            <w:pPr>
              <w:tabs>
                <w:tab w:val="left" w:pos="420"/>
              </w:tabs>
              <w:spacing w:line="240" w:lineRule="auto"/>
              <w:ind w:firstLine="0" w:firstLineChars="0"/>
              <w:rPr>
                <w:rFonts w:eastAsia="仿宋_GB2312"/>
                <w:sz w:val="28"/>
              </w:rPr>
            </w:pPr>
            <w:r>
              <w:rPr>
                <w:rFonts w:hint="eastAsia" w:eastAsia="仿宋_GB2312"/>
                <w:sz w:val="28"/>
              </w:rPr>
              <w:t>五、导师评语</w:t>
            </w:r>
          </w:p>
          <w:p w14:paraId="673BF6EE">
            <w:pPr>
              <w:ind w:firstLine="560"/>
              <w:rPr>
                <w:rFonts w:eastAsia="仿宋_GB2312"/>
                <w:sz w:val="28"/>
              </w:rPr>
            </w:pPr>
          </w:p>
          <w:p w14:paraId="027CE7A0">
            <w:pPr>
              <w:ind w:firstLine="560"/>
              <w:rPr>
                <w:rFonts w:eastAsia="仿宋_GB2312"/>
                <w:sz w:val="28"/>
              </w:rPr>
            </w:pPr>
          </w:p>
          <w:p w14:paraId="0CCE8C77">
            <w:pPr>
              <w:ind w:firstLine="560"/>
              <w:rPr>
                <w:rFonts w:eastAsia="仿宋_GB2312"/>
                <w:sz w:val="28"/>
              </w:rPr>
            </w:pPr>
          </w:p>
          <w:p w14:paraId="6AEF7291">
            <w:pPr>
              <w:wordWrap w:val="0"/>
              <w:ind w:firstLine="562"/>
              <w:jc w:val="right"/>
              <w:rPr>
                <w:rFonts w:eastAsia="仿宋_GB2312"/>
                <w:sz w:val="28"/>
              </w:rPr>
            </w:pPr>
            <w:r>
              <w:rPr>
                <w:rFonts w:hint="eastAsia" w:eastAsia="仿宋_GB2312"/>
                <w:b/>
                <w:sz w:val="28"/>
              </w:rPr>
              <w:t xml:space="preserve">导师签名：  </w:t>
            </w:r>
            <w:r>
              <w:rPr>
                <w:rFonts w:eastAsia="仿宋_GB2312"/>
                <w:b/>
                <w:sz w:val="28"/>
              </w:rPr>
              <w:t xml:space="preserve">   </w:t>
            </w:r>
            <w:r>
              <w:rPr>
                <w:rFonts w:eastAsia="仿宋_GB2312"/>
                <w:b/>
                <w:sz w:val="28"/>
              </w:rPr>
              <w:tab/>
            </w:r>
            <w:r>
              <w:rPr>
                <w:rFonts w:hint="eastAsia" w:eastAsia="仿宋_GB2312"/>
                <w:b/>
                <w:sz w:val="28"/>
              </w:rPr>
              <w:t>日期：      年   月   日</w:t>
            </w:r>
          </w:p>
        </w:tc>
      </w:tr>
      <w:tr w14:paraId="48180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20" w:hRule="atLeast"/>
        </w:trPr>
        <w:tc>
          <w:tcPr>
            <w:tcW w:w="8522" w:type="dxa"/>
          </w:tcPr>
          <w:p w14:paraId="6983E231">
            <w:pPr>
              <w:ind w:firstLine="560"/>
              <w:rPr>
                <w:rFonts w:eastAsia="仿宋_GB2312"/>
                <w:sz w:val="28"/>
              </w:rPr>
            </w:pPr>
            <w:r>
              <w:rPr>
                <w:rFonts w:hint="eastAsia" w:eastAsia="仿宋_GB2312"/>
                <w:sz w:val="28"/>
              </w:rPr>
              <w:t>七</w:t>
            </w:r>
            <w:r>
              <w:rPr>
                <w:rFonts w:eastAsia="仿宋_GB2312"/>
                <w:sz w:val="28"/>
              </w:rPr>
              <w:t>、</w:t>
            </w:r>
            <w:r>
              <w:rPr>
                <w:rFonts w:hint="eastAsia" w:eastAsia="仿宋_GB2312"/>
                <w:sz w:val="28"/>
              </w:rPr>
              <w:t>论证小组论证意见：</w:t>
            </w:r>
          </w:p>
          <w:p w14:paraId="03896BB7">
            <w:pPr>
              <w:spacing w:line="300" w:lineRule="auto"/>
              <w:ind w:firstLine="480"/>
              <w:rPr>
                <w:rFonts w:hint="eastAsia" w:ascii="宋体" w:hAnsi="宋体"/>
                <w:color w:val="0000FF"/>
                <w:szCs w:val="21"/>
              </w:rPr>
            </w:pPr>
            <w:r>
              <w:rPr>
                <w:rFonts w:hint="eastAsia" w:ascii="宋体" w:hAnsi="宋体"/>
                <w:color w:val="0000FF"/>
                <w:szCs w:val="21"/>
              </w:rPr>
              <w:t>（小组秘书汇总填写开题</w:t>
            </w:r>
            <w:r>
              <w:rPr>
                <w:rFonts w:ascii="宋体" w:hAnsi="宋体"/>
                <w:color w:val="0000FF"/>
                <w:szCs w:val="21"/>
              </w:rPr>
              <w:t>论证小组</w:t>
            </w:r>
            <w:r>
              <w:rPr>
                <w:rFonts w:hint="eastAsia" w:ascii="宋体" w:hAnsi="宋体"/>
                <w:color w:val="0000FF"/>
                <w:szCs w:val="21"/>
              </w:rPr>
              <w:t>专家的表决、</w:t>
            </w:r>
            <w:r>
              <w:rPr>
                <w:rFonts w:ascii="宋体" w:hAnsi="宋体"/>
                <w:color w:val="0000FF"/>
                <w:szCs w:val="21"/>
              </w:rPr>
              <w:t>评分和意见</w:t>
            </w:r>
            <w:r>
              <w:rPr>
                <w:rFonts w:hint="eastAsia" w:ascii="宋体" w:hAnsi="宋体"/>
                <w:color w:val="0000FF"/>
                <w:szCs w:val="21"/>
              </w:rPr>
              <w:t>情况，以便中期检查时对照审查。）</w:t>
            </w:r>
          </w:p>
          <w:p w14:paraId="49F5ECE6">
            <w:pPr>
              <w:snapToGrid w:val="0"/>
              <w:spacing w:line="300" w:lineRule="auto"/>
              <w:ind w:firstLine="482"/>
              <w:jc w:val="center"/>
              <w:rPr>
                <w:b/>
                <w:szCs w:val="28"/>
              </w:rPr>
            </w:pPr>
            <w:r>
              <w:rPr>
                <w:rFonts w:hint="eastAsia"/>
                <w:b/>
                <w:szCs w:val="28"/>
              </w:rPr>
              <w:t>开题论证</w:t>
            </w:r>
            <w:r>
              <w:rPr>
                <w:b/>
                <w:szCs w:val="28"/>
              </w:rPr>
              <w:t>小组表决</w:t>
            </w:r>
            <w:r>
              <w:rPr>
                <w:rFonts w:hint="eastAsia"/>
                <w:b/>
                <w:szCs w:val="28"/>
              </w:rPr>
              <w:t>、评分及结论</w:t>
            </w:r>
          </w:p>
          <w:tbl>
            <w:tblPr>
              <w:tblStyle w:val="9"/>
              <w:tblW w:w="74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6"/>
              <w:gridCol w:w="1621"/>
              <w:gridCol w:w="1622"/>
              <w:gridCol w:w="1622"/>
              <w:gridCol w:w="1538"/>
            </w:tblGrid>
            <w:tr w14:paraId="3F16B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3" w:hRule="atLeast"/>
                <w:jc w:val="center"/>
              </w:trPr>
              <w:tc>
                <w:tcPr>
                  <w:tcW w:w="1076" w:type="dxa"/>
                  <w:vAlign w:val="center"/>
                </w:tcPr>
                <w:p w14:paraId="7A8E0DD7">
                  <w:pPr>
                    <w:snapToGrid w:val="0"/>
                    <w:spacing w:line="300" w:lineRule="auto"/>
                    <w:ind w:firstLine="482"/>
                    <w:jc w:val="center"/>
                    <w:rPr>
                      <w:b/>
                      <w:szCs w:val="28"/>
                    </w:rPr>
                  </w:pPr>
                  <w:r>
                    <w:rPr>
                      <w:rFonts w:hint="eastAsia"/>
                      <w:b/>
                      <w:szCs w:val="28"/>
                    </w:rPr>
                    <w:t>投票</w:t>
                  </w:r>
                  <w:r>
                    <w:rPr>
                      <w:b/>
                      <w:szCs w:val="28"/>
                    </w:rPr>
                    <w:t>人数</w:t>
                  </w:r>
                </w:p>
              </w:tc>
              <w:tc>
                <w:tcPr>
                  <w:tcW w:w="1621" w:type="dxa"/>
                  <w:vAlign w:val="center"/>
                </w:tcPr>
                <w:p w14:paraId="36B5EC97">
                  <w:pPr>
                    <w:snapToGrid w:val="0"/>
                    <w:spacing w:line="300" w:lineRule="auto"/>
                    <w:ind w:firstLine="482"/>
                    <w:jc w:val="center"/>
                    <w:rPr>
                      <w:b/>
                      <w:szCs w:val="28"/>
                    </w:rPr>
                  </w:pPr>
                  <w:r>
                    <w:rPr>
                      <w:rFonts w:hint="eastAsia"/>
                      <w:b/>
                      <w:szCs w:val="28"/>
                    </w:rPr>
                    <w:t>“</w:t>
                  </w:r>
                  <w:r>
                    <w:rPr>
                      <w:b/>
                      <w:szCs w:val="28"/>
                    </w:rPr>
                    <w:t>通过</w:t>
                  </w:r>
                  <w:r>
                    <w:rPr>
                      <w:rFonts w:hint="eastAsia"/>
                      <w:b/>
                      <w:szCs w:val="28"/>
                    </w:rPr>
                    <w:t>”票数</w:t>
                  </w:r>
                </w:p>
              </w:tc>
              <w:tc>
                <w:tcPr>
                  <w:tcW w:w="1622" w:type="dxa"/>
                  <w:vAlign w:val="center"/>
                </w:tcPr>
                <w:p w14:paraId="7C421D84">
                  <w:pPr>
                    <w:snapToGrid w:val="0"/>
                    <w:spacing w:line="300" w:lineRule="auto"/>
                    <w:ind w:firstLine="482"/>
                    <w:jc w:val="center"/>
                    <w:rPr>
                      <w:b/>
                      <w:szCs w:val="28"/>
                    </w:rPr>
                  </w:pPr>
                  <w:r>
                    <w:rPr>
                      <w:rFonts w:hint="eastAsia"/>
                      <w:b/>
                      <w:szCs w:val="28"/>
                    </w:rPr>
                    <w:t>“不</w:t>
                  </w:r>
                  <w:r>
                    <w:rPr>
                      <w:b/>
                      <w:szCs w:val="28"/>
                    </w:rPr>
                    <w:t>通过</w:t>
                  </w:r>
                  <w:r>
                    <w:rPr>
                      <w:rFonts w:hint="eastAsia"/>
                      <w:b/>
                      <w:szCs w:val="28"/>
                    </w:rPr>
                    <w:t>”票数</w:t>
                  </w:r>
                </w:p>
              </w:tc>
              <w:tc>
                <w:tcPr>
                  <w:tcW w:w="1622" w:type="dxa"/>
                  <w:vAlign w:val="center"/>
                </w:tcPr>
                <w:p w14:paraId="0F7347CB">
                  <w:pPr>
                    <w:snapToGrid w:val="0"/>
                    <w:spacing w:line="300" w:lineRule="auto"/>
                    <w:ind w:firstLine="482"/>
                    <w:jc w:val="center"/>
                    <w:rPr>
                      <w:b/>
                      <w:szCs w:val="28"/>
                    </w:rPr>
                  </w:pPr>
                  <w:r>
                    <w:rPr>
                      <w:rFonts w:hint="eastAsia"/>
                      <w:b/>
                      <w:szCs w:val="28"/>
                    </w:rPr>
                    <w:t>评分</w:t>
                  </w:r>
                </w:p>
                <w:p w14:paraId="5495ED85">
                  <w:pPr>
                    <w:snapToGrid w:val="0"/>
                    <w:spacing w:line="300" w:lineRule="auto"/>
                    <w:ind w:firstLine="482"/>
                    <w:jc w:val="center"/>
                    <w:rPr>
                      <w:b/>
                      <w:szCs w:val="28"/>
                    </w:rPr>
                  </w:pPr>
                  <w:r>
                    <w:rPr>
                      <w:rFonts w:hint="eastAsia"/>
                      <w:b/>
                      <w:szCs w:val="28"/>
                    </w:rPr>
                    <w:t>（满分100分）</w:t>
                  </w:r>
                </w:p>
              </w:tc>
              <w:tc>
                <w:tcPr>
                  <w:tcW w:w="1538" w:type="dxa"/>
                  <w:vAlign w:val="center"/>
                </w:tcPr>
                <w:p w14:paraId="16C5D8B1">
                  <w:pPr>
                    <w:snapToGrid w:val="0"/>
                    <w:spacing w:line="300" w:lineRule="auto"/>
                    <w:ind w:firstLine="482"/>
                    <w:jc w:val="center"/>
                    <w:rPr>
                      <w:b/>
                      <w:szCs w:val="28"/>
                    </w:rPr>
                  </w:pPr>
                  <w:r>
                    <w:rPr>
                      <w:rFonts w:hint="eastAsia"/>
                      <w:b/>
                      <w:szCs w:val="28"/>
                    </w:rPr>
                    <w:t>结论</w:t>
                  </w:r>
                </w:p>
              </w:tc>
            </w:tr>
            <w:tr w14:paraId="22BBA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1076" w:type="dxa"/>
                  <w:vAlign w:val="center"/>
                </w:tcPr>
                <w:p w14:paraId="66301FA2">
                  <w:pPr>
                    <w:snapToGrid w:val="0"/>
                    <w:spacing w:line="300" w:lineRule="auto"/>
                    <w:ind w:firstLine="480"/>
                    <w:jc w:val="center"/>
                    <w:rPr>
                      <w:szCs w:val="28"/>
                    </w:rPr>
                  </w:pPr>
                </w:p>
              </w:tc>
              <w:tc>
                <w:tcPr>
                  <w:tcW w:w="1621" w:type="dxa"/>
                  <w:vAlign w:val="center"/>
                </w:tcPr>
                <w:p w14:paraId="5F3A7A78">
                  <w:pPr>
                    <w:snapToGrid w:val="0"/>
                    <w:spacing w:line="300" w:lineRule="auto"/>
                    <w:ind w:firstLine="480"/>
                    <w:jc w:val="center"/>
                    <w:rPr>
                      <w:szCs w:val="28"/>
                    </w:rPr>
                  </w:pPr>
                </w:p>
              </w:tc>
              <w:tc>
                <w:tcPr>
                  <w:tcW w:w="1622" w:type="dxa"/>
                  <w:vAlign w:val="center"/>
                </w:tcPr>
                <w:p w14:paraId="617927A8">
                  <w:pPr>
                    <w:snapToGrid w:val="0"/>
                    <w:spacing w:line="300" w:lineRule="auto"/>
                    <w:ind w:firstLine="480"/>
                    <w:jc w:val="center"/>
                    <w:rPr>
                      <w:szCs w:val="28"/>
                    </w:rPr>
                  </w:pPr>
                </w:p>
              </w:tc>
              <w:tc>
                <w:tcPr>
                  <w:tcW w:w="1622" w:type="dxa"/>
                  <w:vAlign w:val="center"/>
                </w:tcPr>
                <w:p w14:paraId="7FF33E9B">
                  <w:pPr>
                    <w:snapToGrid w:val="0"/>
                    <w:spacing w:line="300" w:lineRule="auto"/>
                    <w:ind w:firstLine="480"/>
                    <w:jc w:val="center"/>
                    <w:rPr>
                      <w:szCs w:val="28"/>
                    </w:rPr>
                  </w:pPr>
                </w:p>
              </w:tc>
              <w:tc>
                <w:tcPr>
                  <w:tcW w:w="1538" w:type="dxa"/>
                  <w:vAlign w:val="center"/>
                </w:tcPr>
                <w:p w14:paraId="31B5B3B3">
                  <w:pPr>
                    <w:snapToGrid w:val="0"/>
                    <w:spacing w:line="300" w:lineRule="auto"/>
                    <w:ind w:firstLine="480"/>
                    <w:jc w:val="center"/>
                    <w:rPr>
                      <w:szCs w:val="28"/>
                    </w:rPr>
                  </w:pPr>
                </w:p>
              </w:tc>
            </w:tr>
          </w:tbl>
          <w:p w14:paraId="145DAF6E">
            <w:pPr>
              <w:snapToGrid w:val="0"/>
              <w:spacing w:line="300" w:lineRule="auto"/>
              <w:ind w:firstLine="360"/>
              <w:rPr>
                <w:rFonts w:hint="eastAsia" w:ascii="宋体" w:hAnsi="宋体"/>
                <w:sz w:val="18"/>
                <w:szCs w:val="28"/>
              </w:rPr>
            </w:pPr>
            <w:r>
              <w:rPr>
                <w:rFonts w:hint="eastAsia"/>
                <w:sz w:val="18"/>
                <w:szCs w:val="28"/>
              </w:rPr>
              <w:t>注：开题</w:t>
            </w:r>
            <w:r>
              <w:rPr>
                <w:sz w:val="18"/>
                <w:szCs w:val="28"/>
              </w:rPr>
              <w:t>论证小组</w:t>
            </w:r>
            <w:r>
              <w:rPr>
                <w:rFonts w:hint="eastAsia" w:ascii="宋体" w:hAnsi="宋体" w:cs="宋体"/>
                <w:sz w:val="18"/>
                <w:szCs w:val="21"/>
              </w:rPr>
              <w:t>五分之</w:t>
            </w:r>
            <w:r>
              <w:rPr>
                <w:rFonts w:ascii="宋体" w:hAnsi="宋体" w:cs="宋体"/>
                <w:sz w:val="18"/>
                <w:szCs w:val="21"/>
              </w:rPr>
              <w:t>三</w:t>
            </w:r>
            <w:r>
              <w:rPr>
                <w:rFonts w:hint="eastAsia" w:ascii="宋体" w:hAnsi="宋体" w:cs="宋体"/>
                <w:sz w:val="18"/>
                <w:szCs w:val="21"/>
              </w:rPr>
              <w:t>（含）</w:t>
            </w:r>
            <w:r>
              <w:rPr>
                <w:rFonts w:ascii="宋体" w:hAnsi="宋体" w:cs="宋体"/>
                <w:sz w:val="18"/>
                <w:szCs w:val="21"/>
              </w:rPr>
              <w:t>以上专家</w:t>
            </w:r>
            <w:r>
              <w:rPr>
                <w:rFonts w:hint="eastAsia" w:ascii="宋体" w:hAnsi="宋体" w:cs="宋体"/>
                <w:sz w:val="18"/>
                <w:szCs w:val="21"/>
              </w:rPr>
              <w:t>论证</w:t>
            </w:r>
            <w:r>
              <w:rPr>
                <w:rFonts w:ascii="宋体" w:hAnsi="宋体" w:cs="宋体"/>
                <w:sz w:val="18"/>
                <w:szCs w:val="21"/>
              </w:rPr>
              <w:t>结论为</w:t>
            </w:r>
            <w:r>
              <w:rPr>
                <w:rFonts w:hint="eastAsia" w:ascii="宋体" w:hAnsi="宋体" w:cs="宋体"/>
                <w:sz w:val="18"/>
                <w:szCs w:val="21"/>
              </w:rPr>
              <w:t>“</w:t>
            </w:r>
            <w:r>
              <w:rPr>
                <w:rFonts w:ascii="宋体" w:hAnsi="宋体" w:cs="宋体"/>
                <w:sz w:val="18"/>
                <w:szCs w:val="21"/>
              </w:rPr>
              <w:t>通过</w:t>
            </w:r>
            <w:r>
              <w:rPr>
                <w:rFonts w:hint="eastAsia" w:ascii="宋体" w:hAnsi="宋体" w:cs="宋体"/>
                <w:sz w:val="18"/>
                <w:szCs w:val="21"/>
              </w:rPr>
              <w:t>”</w:t>
            </w:r>
            <w:r>
              <w:rPr>
                <w:rFonts w:ascii="宋体" w:hAnsi="宋体" w:cs="宋体"/>
                <w:sz w:val="18"/>
                <w:szCs w:val="21"/>
              </w:rPr>
              <w:t>并且</w:t>
            </w:r>
            <w:r>
              <w:rPr>
                <w:rFonts w:hint="eastAsia" w:ascii="宋体" w:hAnsi="宋体" w:cs="宋体"/>
                <w:sz w:val="18"/>
                <w:szCs w:val="21"/>
              </w:rPr>
              <w:t>评分（各专家评分</w:t>
            </w:r>
            <w:r>
              <w:rPr>
                <w:rFonts w:ascii="宋体" w:hAnsi="宋体" w:cs="宋体"/>
                <w:sz w:val="18"/>
                <w:szCs w:val="21"/>
              </w:rPr>
              <w:t>的</w:t>
            </w:r>
            <w:r>
              <w:rPr>
                <w:rFonts w:hint="eastAsia" w:ascii="宋体" w:hAnsi="宋体" w:cs="宋体"/>
                <w:sz w:val="18"/>
                <w:szCs w:val="21"/>
              </w:rPr>
              <w:t>平均值）</w:t>
            </w:r>
            <w:r>
              <w:rPr>
                <w:rFonts w:ascii="宋体" w:hAnsi="宋体" w:cs="宋体"/>
                <w:sz w:val="18"/>
                <w:szCs w:val="21"/>
              </w:rPr>
              <w:t>不低于</w:t>
            </w:r>
            <w:r>
              <w:rPr>
                <w:rFonts w:hint="eastAsia" w:ascii="宋体" w:hAnsi="宋体" w:cs="宋体"/>
                <w:sz w:val="18"/>
                <w:szCs w:val="21"/>
              </w:rPr>
              <w:t>70分</w:t>
            </w:r>
            <w:r>
              <w:rPr>
                <w:rFonts w:ascii="宋体" w:hAnsi="宋体" w:cs="宋体"/>
                <w:sz w:val="18"/>
                <w:szCs w:val="21"/>
              </w:rPr>
              <w:t>，则开题论证</w:t>
            </w:r>
            <w:r>
              <w:rPr>
                <w:rFonts w:hint="eastAsia" w:ascii="宋体" w:hAnsi="宋体" w:cs="宋体"/>
                <w:sz w:val="18"/>
                <w:szCs w:val="21"/>
              </w:rPr>
              <w:t>结论</w:t>
            </w:r>
            <w:r>
              <w:rPr>
                <w:rFonts w:ascii="宋体" w:hAnsi="宋体" w:cs="宋体"/>
                <w:sz w:val="18"/>
                <w:szCs w:val="21"/>
              </w:rPr>
              <w:t>为“通过”。</w:t>
            </w:r>
          </w:p>
          <w:p w14:paraId="691FC37C">
            <w:pPr>
              <w:ind w:firstLine="482"/>
              <w:rPr>
                <w:rFonts w:hint="eastAsia" w:ascii="宋体" w:hAnsi="宋体"/>
                <w:u w:val="single"/>
              </w:rPr>
            </w:pPr>
            <w:r>
              <w:rPr>
                <w:rFonts w:hint="eastAsia"/>
                <w:b/>
                <w:szCs w:val="28"/>
              </w:rPr>
              <w:t>具体</w:t>
            </w:r>
            <w:r>
              <w:rPr>
                <w:b/>
                <w:szCs w:val="28"/>
              </w:rPr>
              <w:t>修改建议或意见：</w:t>
            </w:r>
          </w:p>
          <w:p w14:paraId="029B528E">
            <w:pPr>
              <w:spacing w:line="300" w:lineRule="auto"/>
              <w:ind w:firstLine="480"/>
              <w:rPr>
                <w:rFonts w:hint="eastAsia" w:ascii="宋体" w:hAnsi="宋体"/>
                <w:szCs w:val="21"/>
              </w:rPr>
            </w:pPr>
          </w:p>
          <w:p w14:paraId="1BBAB148">
            <w:pPr>
              <w:ind w:firstLine="560"/>
              <w:rPr>
                <w:rFonts w:eastAsia="仿宋_GB2312"/>
                <w:sz w:val="28"/>
                <w:u w:val="single"/>
              </w:rPr>
            </w:pPr>
          </w:p>
          <w:p w14:paraId="642FEAA0">
            <w:pPr>
              <w:ind w:firstLine="560"/>
              <w:rPr>
                <w:rFonts w:eastAsia="仿宋_GB2312"/>
                <w:sz w:val="28"/>
                <w:u w:val="single"/>
              </w:rPr>
            </w:pPr>
          </w:p>
          <w:p w14:paraId="1D48FA4F">
            <w:pPr>
              <w:ind w:firstLine="241" w:firstLineChars="100"/>
              <w:rPr>
                <w:rFonts w:eastAsia="仿宋_GB2312"/>
                <w:sz w:val="28"/>
              </w:rPr>
            </w:pPr>
            <w:r>
              <w:rPr>
                <w:rFonts w:hint="eastAsia" w:ascii="仿宋_GB2312" w:eastAsia="仿宋_GB2312"/>
                <w:b/>
              </w:rPr>
              <w:t xml:space="preserve">检查小组组长签名：              </w:t>
            </w:r>
            <w:r>
              <w:rPr>
                <w:rFonts w:ascii="仿宋_GB2312" w:eastAsia="仿宋_GB2312"/>
                <w:b/>
              </w:rPr>
              <w:tab/>
            </w:r>
            <w:r>
              <w:rPr>
                <w:rFonts w:hint="eastAsia" w:ascii="仿宋_GB2312" w:eastAsia="仿宋_GB2312"/>
                <w:b/>
              </w:rPr>
              <w:t>日期：      年    月    日</w:t>
            </w:r>
          </w:p>
          <w:p w14:paraId="13B757AF">
            <w:pPr>
              <w:ind w:firstLine="560"/>
              <w:rPr>
                <w:rFonts w:eastAsia="仿宋_GB2312"/>
                <w:sz w:val="28"/>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0"/>
              <w:gridCol w:w="1292"/>
              <w:gridCol w:w="1293"/>
              <w:gridCol w:w="2265"/>
              <w:gridCol w:w="2136"/>
            </w:tblGrid>
            <w:tr w14:paraId="6BB64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vAlign w:val="center"/>
                </w:tcPr>
                <w:p w14:paraId="7BAB83C7">
                  <w:pPr>
                    <w:ind w:firstLine="482"/>
                    <w:jc w:val="center"/>
                    <w:rPr>
                      <w:rFonts w:hint="eastAsia" w:ascii="宋体" w:hAnsi="宋体"/>
                      <w:b/>
                    </w:rPr>
                  </w:pPr>
                  <w:r>
                    <w:rPr>
                      <w:rFonts w:hint="eastAsia" w:ascii="宋体" w:hAnsi="宋体"/>
                      <w:b/>
                    </w:rPr>
                    <w:t>开题</w:t>
                  </w:r>
                  <w:r>
                    <w:rPr>
                      <w:rFonts w:ascii="宋体" w:hAnsi="宋体"/>
                      <w:b/>
                    </w:rPr>
                    <w:t>论证小组</w:t>
                  </w:r>
                  <w:r>
                    <w:rPr>
                      <w:rFonts w:hint="eastAsia" w:ascii="宋体" w:hAnsi="宋体"/>
                      <w:b/>
                    </w:rPr>
                    <w:t>分工</w:t>
                  </w:r>
                </w:p>
              </w:tc>
              <w:tc>
                <w:tcPr>
                  <w:tcW w:w="1300" w:type="dxa"/>
                  <w:vAlign w:val="center"/>
                </w:tcPr>
                <w:p w14:paraId="7DEB53C3">
                  <w:pPr>
                    <w:ind w:firstLine="482"/>
                    <w:jc w:val="center"/>
                    <w:rPr>
                      <w:rFonts w:hint="eastAsia" w:ascii="宋体" w:hAnsi="宋体"/>
                      <w:b/>
                    </w:rPr>
                  </w:pPr>
                  <w:r>
                    <w:rPr>
                      <w:rFonts w:hint="eastAsia" w:ascii="宋体" w:hAnsi="宋体"/>
                      <w:b/>
                    </w:rPr>
                    <w:t>姓名</w:t>
                  </w:r>
                </w:p>
              </w:tc>
              <w:tc>
                <w:tcPr>
                  <w:tcW w:w="1301" w:type="dxa"/>
                  <w:vAlign w:val="center"/>
                </w:tcPr>
                <w:p w14:paraId="47F96463">
                  <w:pPr>
                    <w:ind w:firstLine="482"/>
                    <w:jc w:val="center"/>
                    <w:rPr>
                      <w:rFonts w:hint="eastAsia" w:ascii="宋体" w:hAnsi="宋体"/>
                      <w:b/>
                    </w:rPr>
                  </w:pPr>
                  <w:r>
                    <w:rPr>
                      <w:rFonts w:hint="eastAsia" w:ascii="宋体" w:hAnsi="宋体"/>
                      <w:b/>
                    </w:rPr>
                    <w:t>职称</w:t>
                  </w:r>
                </w:p>
              </w:tc>
              <w:tc>
                <w:tcPr>
                  <w:tcW w:w="2295" w:type="dxa"/>
                  <w:vAlign w:val="center"/>
                </w:tcPr>
                <w:p w14:paraId="458D103E">
                  <w:pPr>
                    <w:ind w:firstLine="482"/>
                    <w:jc w:val="center"/>
                    <w:rPr>
                      <w:rFonts w:hint="eastAsia" w:ascii="宋体" w:hAnsi="宋体"/>
                      <w:b/>
                    </w:rPr>
                  </w:pPr>
                  <w:r>
                    <w:rPr>
                      <w:rFonts w:hint="eastAsia" w:ascii="宋体" w:hAnsi="宋体"/>
                      <w:b/>
                    </w:rPr>
                    <w:t>工作</w:t>
                  </w:r>
                  <w:r>
                    <w:rPr>
                      <w:rFonts w:ascii="宋体" w:hAnsi="宋体"/>
                      <w:b/>
                    </w:rPr>
                    <w:t>单位</w:t>
                  </w:r>
                </w:p>
              </w:tc>
              <w:tc>
                <w:tcPr>
                  <w:tcW w:w="2163" w:type="dxa"/>
                  <w:vAlign w:val="center"/>
                </w:tcPr>
                <w:p w14:paraId="4FB4F20A">
                  <w:pPr>
                    <w:ind w:firstLine="482"/>
                    <w:jc w:val="center"/>
                    <w:rPr>
                      <w:rFonts w:hint="eastAsia" w:ascii="宋体" w:hAnsi="宋体"/>
                      <w:b/>
                    </w:rPr>
                  </w:pPr>
                  <w:r>
                    <w:rPr>
                      <w:rFonts w:hint="eastAsia" w:ascii="宋体" w:hAnsi="宋体"/>
                      <w:b/>
                    </w:rPr>
                    <w:t>签名</w:t>
                  </w:r>
                </w:p>
              </w:tc>
            </w:tr>
            <w:tr w14:paraId="450CA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vAlign w:val="center"/>
                </w:tcPr>
                <w:p w14:paraId="4B2D4048">
                  <w:pPr>
                    <w:ind w:firstLine="480"/>
                    <w:jc w:val="center"/>
                    <w:rPr>
                      <w:rFonts w:hint="eastAsia" w:ascii="宋体" w:hAnsi="宋体"/>
                    </w:rPr>
                  </w:pPr>
                  <w:r>
                    <w:rPr>
                      <w:rFonts w:hint="eastAsia" w:ascii="宋体" w:hAnsi="宋体"/>
                    </w:rPr>
                    <w:t>组长</w:t>
                  </w:r>
                </w:p>
              </w:tc>
              <w:tc>
                <w:tcPr>
                  <w:tcW w:w="1300" w:type="dxa"/>
                  <w:vAlign w:val="center"/>
                </w:tcPr>
                <w:p w14:paraId="2207F348">
                  <w:pPr>
                    <w:ind w:firstLine="480"/>
                    <w:jc w:val="center"/>
                    <w:rPr>
                      <w:rFonts w:hint="eastAsia" w:ascii="宋体" w:hAnsi="宋体"/>
                      <w:szCs w:val="21"/>
                    </w:rPr>
                  </w:pPr>
                </w:p>
              </w:tc>
              <w:tc>
                <w:tcPr>
                  <w:tcW w:w="1301" w:type="dxa"/>
                  <w:vAlign w:val="center"/>
                </w:tcPr>
                <w:p w14:paraId="260CE4EE">
                  <w:pPr>
                    <w:ind w:firstLine="480"/>
                    <w:jc w:val="center"/>
                    <w:rPr>
                      <w:rFonts w:hint="eastAsia" w:ascii="宋体" w:hAnsi="宋体"/>
                      <w:szCs w:val="21"/>
                    </w:rPr>
                  </w:pPr>
                </w:p>
              </w:tc>
              <w:tc>
                <w:tcPr>
                  <w:tcW w:w="2295" w:type="dxa"/>
                  <w:vAlign w:val="center"/>
                </w:tcPr>
                <w:p w14:paraId="57B734C8">
                  <w:pPr>
                    <w:ind w:firstLine="480"/>
                    <w:jc w:val="center"/>
                    <w:rPr>
                      <w:rFonts w:hint="eastAsia" w:ascii="宋体" w:hAnsi="宋体"/>
                      <w:szCs w:val="21"/>
                    </w:rPr>
                  </w:pPr>
                </w:p>
              </w:tc>
              <w:tc>
                <w:tcPr>
                  <w:tcW w:w="2163" w:type="dxa"/>
                  <w:vAlign w:val="center"/>
                </w:tcPr>
                <w:p w14:paraId="2A70D0F2">
                  <w:pPr>
                    <w:ind w:firstLine="480"/>
                    <w:jc w:val="center"/>
                    <w:rPr>
                      <w:rFonts w:hint="eastAsia" w:ascii="宋体" w:hAnsi="宋体"/>
                    </w:rPr>
                  </w:pPr>
                </w:p>
              </w:tc>
            </w:tr>
            <w:tr w14:paraId="349DC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vAlign w:val="center"/>
                </w:tcPr>
                <w:p w14:paraId="11E89CFF">
                  <w:pPr>
                    <w:ind w:firstLine="480"/>
                    <w:jc w:val="center"/>
                    <w:rPr>
                      <w:rFonts w:hint="eastAsia" w:ascii="宋体" w:hAnsi="宋体"/>
                    </w:rPr>
                  </w:pPr>
                  <w:r>
                    <w:rPr>
                      <w:rFonts w:hint="eastAsia" w:ascii="宋体" w:hAnsi="宋体"/>
                    </w:rPr>
                    <w:t>成员</w:t>
                  </w:r>
                </w:p>
              </w:tc>
              <w:tc>
                <w:tcPr>
                  <w:tcW w:w="1300" w:type="dxa"/>
                  <w:vAlign w:val="center"/>
                </w:tcPr>
                <w:p w14:paraId="23DB9BA9">
                  <w:pPr>
                    <w:ind w:firstLine="480"/>
                    <w:jc w:val="center"/>
                    <w:rPr>
                      <w:rFonts w:hint="eastAsia" w:ascii="宋体" w:hAnsi="宋体"/>
                      <w:szCs w:val="21"/>
                    </w:rPr>
                  </w:pPr>
                </w:p>
              </w:tc>
              <w:tc>
                <w:tcPr>
                  <w:tcW w:w="1301" w:type="dxa"/>
                  <w:vAlign w:val="center"/>
                </w:tcPr>
                <w:p w14:paraId="3AEF5EA3">
                  <w:pPr>
                    <w:ind w:firstLine="480"/>
                    <w:jc w:val="center"/>
                    <w:rPr>
                      <w:rFonts w:hint="eastAsia" w:ascii="宋体" w:hAnsi="宋体"/>
                      <w:szCs w:val="21"/>
                    </w:rPr>
                  </w:pPr>
                </w:p>
              </w:tc>
              <w:tc>
                <w:tcPr>
                  <w:tcW w:w="2295" w:type="dxa"/>
                  <w:vAlign w:val="center"/>
                </w:tcPr>
                <w:p w14:paraId="0C0E6E8E">
                  <w:pPr>
                    <w:ind w:firstLine="480"/>
                    <w:jc w:val="center"/>
                    <w:rPr>
                      <w:rFonts w:hint="eastAsia" w:ascii="宋体" w:hAnsi="宋体"/>
                      <w:szCs w:val="21"/>
                    </w:rPr>
                  </w:pPr>
                </w:p>
              </w:tc>
              <w:tc>
                <w:tcPr>
                  <w:tcW w:w="2163" w:type="dxa"/>
                  <w:vAlign w:val="center"/>
                </w:tcPr>
                <w:p w14:paraId="20B4012C">
                  <w:pPr>
                    <w:ind w:firstLine="480"/>
                    <w:jc w:val="center"/>
                    <w:rPr>
                      <w:rFonts w:hint="eastAsia" w:ascii="宋体" w:hAnsi="宋体"/>
                    </w:rPr>
                  </w:pPr>
                </w:p>
              </w:tc>
            </w:tr>
            <w:tr w14:paraId="3243F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vAlign w:val="center"/>
                </w:tcPr>
                <w:p w14:paraId="242890EE">
                  <w:pPr>
                    <w:ind w:firstLine="480"/>
                    <w:jc w:val="center"/>
                    <w:rPr>
                      <w:rFonts w:hint="eastAsia" w:ascii="宋体" w:hAnsi="宋体"/>
                    </w:rPr>
                  </w:pPr>
                  <w:r>
                    <w:rPr>
                      <w:rFonts w:hint="eastAsia" w:ascii="宋体" w:hAnsi="宋体"/>
                    </w:rPr>
                    <w:t>成员</w:t>
                  </w:r>
                </w:p>
              </w:tc>
              <w:tc>
                <w:tcPr>
                  <w:tcW w:w="1300" w:type="dxa"/>
                  <w:vAlign w:val="center"/>
                </w:tcPr>
                <w:p w14:paraId="434CCC82">
                  <w:pPr>
                    <w:ind w:firstLine="480"/>
                    <w:jc w:val="center"/>
                    <w:rPr>
                      <w:rFonts w:hint="eastAsia" w:ascii="宋体" w:hAnsi="宋体"/>
                      <w:szCs w:val="21"/>
                    </w:rPr>
                  </w:pPr>
                </w:p>
              </w:tc>
              <w:tc>
                <w:tcPr>
                  <w:tcW w:w="1301" w:type="dxa"/>
                  <w:vAlign w:val="center"/>
                </w:tcPr>
                <w:p w14:paraId="744E6D17">
                  <w:pPr>
                    <w:ind w:firstLine="480"/>
                    <w:jc w:val="center"/>
                    <w:rPr>
                      <w:rFonts w:hint="eastAsia" w:ascii="宋体" w:hAnsi="宋体"/>
                      <w:szCs w:val="21"/>
                    </w:rPr>
                  </w:pPr>
                </w:p>
              </w:tc>
              <w:tc>
                <w:tcPr>
                  <w:tcW w:w="2295" w:type="dxa"/>
                  <w:vAlign w:val="center"/>
                </w:tcPr>
                <w:p w14:paraId="7FBC11B3">
                  <w:pPr>
                    <w:ind w:firstLine="480"/>
                    <w:jc w:val="center"/>
                    <w:rPr>
                      <w:rFonts w:hint="eastAsia" w:ascii="宋体" w:hAnsi="宋体"/>
                      <w:szCs w:val="21"/>
                    </w:rPr>
                  </w:pPr>
                </w:p>
              </w:tc>
              <w:tc>
                <w:tcPr>
                  <w:tcW w:w="2163" w:type="dxa"/>
                  <w:vAlign w:val="center"/>
                </w:tcPr>
                <w:p w14:paraId="6CFFF417">
                  <w:pPr>
                    <w:ind w:firstLine="480"/>
                    <w:jc w:val="center"/>
                    <w:rPr>
                      <w:rFonts w:hint="eastAsia" w:ascii="宋体" w:hAnsi="宋体"/>
                    </w:rPr>
                  </w:pPr>
                </w:p>
              </w:tc>
            </w:tr>
            <w:tr w14:paraId="1F11F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18" w:type="dxa"/>
                  <w:vAlign w:val="center"/>
                </w:tcPr>
                <w:p w14:paraId="757927DA">
                  <w:pPr>
                    <w:ind w:firstLine="480"/>
                    <w:jc w:val="center"/>
                    <w:rPr>
                      <w:rFonts w:hint="eastAsia" w:ascii="宋体" w:hAnsi="宋体"/>
                    </w:rPr>
                  </w:pPr>
                  <w:r>
                    <w:rPr>
                      <w:rFonts w:hint="eastAsia" w:ascii="宋体" w:hAnsi="宋体"/>
                    </w:rPr>
                    <w:t>成员</w:t>
                  </w:r>
                </w:p>
              </w:tc>
              <w:tc>
                <w:tcPr>
                  <w:tcW w:w="1300" w:type="dxa"/>
                  <w:vAlign w:val="center"/>
                </w:tcPr>
                <w:p w14:paraId="43FADDAA">
                  <w:pPr>
                    <w:ind w:firstLine="480"/>
                    <w:jc w:val="center"/>
                    <w:rPr>
                      <w:rFonts w:hint="eastAsia" w:ascii="宋体" w:hAnsi="宋体"/>
                      <w:szCs w:val="21"/>
                    </w:rPr>
                  </w:pPr>
                </w:p>
              </w:tc>
              <w:tc>
                <w:tcPr>
                  <w:tcW w:w="1301" w:type="dxa"/>
                  <w:vAlign w:val="center"/>
                </w:tcPr>
                <w:p w14:paraId="0A16AC2F">
                  <w:pPr>
                    <w:ind w:firstLine="480"/>
                    <w:jc w:val="center"/>
                    <w:rPr>
                      <w:rFonts w:hint="eastAsia" w:ascii="宋体" w:hAnsi="宋体"/>
                      <w:szCs w:val="21"/>
                    </w:rPr>
                  </w:pPr>
                </w:p>
              </w:tc>
              <w:tc>
                <w:tcPr>
                  <w:tcW w:w="2295" w:type="dxa"/>
                  <w:vAlign w:val="center"/>
                </w:tcPr>
                <w:p w14:paraId="22D8505B">
                  <w:pPr>
                    <w:ind w:firstLine="480"/>
                    <w:jc w:val="center"/>
                    <w:rPr>
                      <w:rFonts w:hint="eastAsia" w:ascii="宋体" w:hAnsi="宋体"/>
                      <w:szCs w:val="21"/>
                    </w:rPr>
                  </w:pPr>
                </w:p>
              </w:tc>
              <w:tc>
                <w:tcPr>
                  <w:tcW w:w="2163" w:type="dxa"/>
                  <w:vAlign w:val="center"/>
                </w:tcPr>
                <w:p w14:paraId="5F8F7F42">
                  <w:pPr>
                    <w:ind w:firstLine="480"/>
                    <w:jc w:val="center"/>
                    <w:rPr>
                      <w:rFonts w:hint="eastAsia" w:ascii="宋体" w:hAnsi="宋体"/>
                    </w:rPr>
                  </w:pPr>
                </w:p>
              </w:tc>
            </w:tr>
            <w:tr w14:paraId="57533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vAlign w:val="center"/>
                </w:tcPr>
                <w:p w14:paraId="101AB35D">
                  <w:pPr>
                    <w:ind w:firstLine="480"/>
                    <w:jc w:val="center"/>
                    <w:rPr>
                      <w:rFonts w:hint="eastAsia" w:ascii="宋体" w:hAnsi="宋体"/>
                    </w:rPr>
                  </w:pPr>
                  <w:r>
                    <w:rPr>
                      <w:rFonts w:hint="eastAsia" w:ascii="宋体" w:hAnsi="宋体"/>
                    </w:rPr>
                    <w:t>成员</w:t>
                  </w:r>
                </w:p>
              </w:tc>
              <w:tc>
                <w:tcPr>
                  <w:tcW w:w="1300" w:type="dxa"/>
                  <w:vAlign w:val="center"/>
                </w:tcPr>
                <w:p w14:paraId="6B5FA730">
                  <w:pPr>
                    <w:ind w:firstLine="480"/>
                    <w:jc w:val="center"/>
                    <w:rPr>
                      <w:rFonts w:hint="eastAsia" w:ascii="宋体" w:hAnsi="宋体"/>
                      <w:szCs w:val="21"/>
                    </w:rPr>
                  </w:pPr>
                </w:p>
              </w:tc>
              <w:tc>
                <w:tcPr>
                  <w:tcW w:w="1301" w:type="dxa"/>
                  <w:vAlign w:val="center"/>
                </w:tcPr>
                <w:p w14:paraId="4F9DC350">
                  <w:pPr>
                    <w:ind w:firstLine="480"/>
                    <w:jc w:val="center"/>
                    <w:rPr>
                      <w:rFonts w:hint="eastAsia" w:ascii="宋体" w:hAnsi="宋体"/>
                      <w:szCs w:val="21"/>
                    </w:rPr>
                  </w:pPr>
                </w:p>
              </w:tc>
              <w:tc>
                <w:tcPr>
                  <w:tcW w:w="2295" w:type="dxa"/>
                  <w:vAlign w:val="center"/>
                </w:tcPr>
                <w:p w14:paraId="725ABD09">
                  <w:pPr>
                    <w:ind w:firstLine="480"/>
                    <w:jc w:val="center"/>
                    <w:rPr>
                      <w:rFonts w:hint="eastAsia" w:ascii="宋体" w:hAnsi="宋体"/>
                      <w:szCs w:val="21"/>
                    </w:rPr>
                  </w:pPr>
                </w:p>
              </w:tc>
              <w:tc>
                <w:tcPr>
                  <w:tcW w:w="2163" w:type="dxa"/>
                  <w:vAlign w:val="center"/>
                </w:tcPr>
                <w:p w14:paraId="1E12EE78">
                  <w:pPr>
                    <w:ind w:firstLine="480"/>
                    <w:jc w:val="center"/>
                    <w:rPr>
                      <w:rFonts w:hint="eastAsia" w:ascii="宋体" w:hAnsi="宋体"/>
                    </w:rPr>
                  </w:pPr>
                </w:p>
              </w:tc>
            </w:tr>
            <w:tr w14:paraId="03695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vAlign w:val="center"/>
                </w:tcPr>
                <w:p w14:paraId="2D6B6212">
                  <w:pPr>
                    <w:ind w:firstLine="480"/>
                    <w:jc w:val="center"/>
                    <w:rPr>
                      <w:rFonts w:hint="eastAsia" w:ascii="宋体" w:hAnsi="宋体"/>
                    </w:rPr>
                  </w:pPr>
                  <w:r>
                    <w:rPr>
                      <w:rFonts w:hint="eastAsia" w:ascii="宋体" w:hAnsi="宋体"/>
                    </w:rPr>
                    <w:t>成员</w:t>
                  </w:r>
                </w:p>
              </w:tc>
              <w:tc>
                <w:tcPr>
                  <w:tcW w:w="1300" w:type="dxa"/>
                  <w:vAlign w:val="center"/>
                </w:tcPr>
                <w:p w14:paraId="0B9E29D4">
                  <w:pPr>
                    <w:ind w:firstLine="480"/>
                    <w:jc w:val="center"/>
                    <w:rPr>
                      <w:rFonts w:hint="eastAsia" w:ascii="宋体" w:hAnsi="宋体"/>
                      <w:szCs w:val="21"/>
                    </w:rPr>
                  </w:pPr>
                </w:p>
              </w:tc>
              <w:tc>
                <w:tcPr>
                  <w:tcW w:w="1301" w:type="dxa"/>
                  <w:vAlign w:val="center"/>
                </w:tcPr>
                <w:p w14:paraId="4DB762F6">
                  <w:pPr>
                    <w:ind w:firstLine="480"/>
                    <w:jc w:val="center"/>
                    <w:rPr>
                      <w:rFonts w:hint="eastAsia" w:ascii="宋体" w:hAnsi="宋体"/>
                      <w:szCs w:val="21"/>
                    </w:rPr>
                  </w:pPr>
                </w:p>
              </w:tc>
              <w:tc>
                <w:tcPr>
                  <w:tcW w:w="2295" w:type="dxa"/>
                  <w:vAlign w:val="center"/>
                </w:tcPr>
                <w:p w14:paraId="0F5C5302">
                  <w:pPr>
                    <w:ind w:firstLine="480"/>
                    <w:jc w:val="center"/>
                    <w:rPr>
                      <w:rFonts w:hint="eastAsia" w:ascii="宋体" w:hAnsi="宋体"/>
                      <w:szCs w:val="21"/>
                    </w:rPr>
                  </w:pPr>
                </w:p>
              </w:tc>
              <w:tc>
                <w:tcPr>
                  <w:tcW w:w="2163" w:type="dxa"/>
                  <w:vAlign w:val="center"/>
                </w:tcPr>
                <w:p w14:paraId="63E92CD2">
                  <w:pPr>
                    <w:ind w:firstLine="480"/>
                    <w:jc w:val="center"/>
                    <w:rPr>
                      <w:rFonts w:hint="eastAsia" w:ascii="宋体" w:hAnsi="宋体"/>
                    </w:rPr>
                  </w:pPr>
                </w:p>
              </w:tc>
            </w:tr>
            <w:tr w14:paraId="6E0D6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vAlign w:val="center"/>
                </w:tcPr>
                <w:p w14:paraId="7C42BE80">
                  <w:pPr>
                    <w:ind w:firstLine="480"/>
                    <w:jc w:val="center"/>
                    <w:rPr>
                      <w:rFonts w:hint="eastAsia" w:ascii="宋体" w:hAnsi="宋体"/>
                    </w:rPr>
                  </w:pPr>
                  <w:r>
                    <w:rPr>
                      <w:rFonts w:hint="eastAsia" w:ascii="宋体" w:hAnsi="宋体"/>
                    </w:rPr>
                    <w:t>成员</w:t>
                  </w:r>
                </w:p>
              </w:tc>
              <w:tc>
                <w:tcPr>
                  <w:tcW w:w="1300" w:type="dxa"/>
                  <w:vAlign w:val="center"/>
                </w:tcPr>
                <w:p w14:paraId="27931ED3">
                  <w:pPr>
                    <w:ind w:firstLine="480"/>
                    <w:jc w:val="center"/>
                    <w:rPr>
                      <w:rFonts w:hint="eastAsia" w:ascii="宋体" w:hAnsi="宋体"/>
                      <w:szCs w:val="21"/>
                    </w:rPr>
                  </w:pPr>
                </w:p>
              </w:tc>
              <w:tc>
                <w:tcPr>
                  <w:tcW w:w="1301" w:type="dxa"/>
                  <w:vAlign w:val="center"/>
                </w:tcPr>
                <w:p w14:paraId="521254E6">
                  <w:pPr>
                    <w:ind w:firstLine="480"/>
                    <w:jc w:val="center"/>
                    <w:rPr>
                      <w:rFonts w:hint="eastAsia" w:ascii="宋体" w:hAnsi="宋体"/>
                      <w:szCs w:val="21"/>
                    </w:rPr>
                  </w:pPr>
                </w:p>
              </w:tc>
              <w:tc>
                <w:tcPr>
                  <w:tcW w:w="2295" w:type="dxa"/>
                  <w:vAlign w:val="center"/>
                </w:tcPr>
                <w:p w14:paraId="244FEA00">
                  <w:pPr>
                    <w:ind w:firstLine="480"/>
                    <w:jc w:val="center"/>
                    <w:rPr>
                      <w:rFonts w:hint="eastAsia" w:ascii="宋体" w:hAnsi="宋体"/>
                      <w:szCs w:val="21"/>
                    </w:rPr>
                  </w:pPr>
                </w:p>
              </w:tc>
              <w:tc>
                <w:tcPr>
                  <w:tcW w:w="2163" w:type="dxa"/>
                  <w:vAlign w:val="center"/>
                </w:tcPr>
                <w:p w14:paraId="28D0D1CD">
                  <w:pPr>
                    <w:ind w:firstLine="480"/>
                    <w:jc w:val="center"/>
                    <w:rPr>
                      <w:rFonts w:hint="eastAsia" w:ascii="宋体" w:hAnsi="宋体"/>
                    </w:rPr>
                  </w:pPr>
                </w:p>
              </w:tc>
            </w:tr>
            <w:tr w14:paraId="3DD5E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18" w:type="dxa"/>
                  <w:vAlign w:val="center"/>
                </w:tcPr>
                <w:p w14:paraId="13AC7656">
                  <w:pPr>
                    <w:ind w:firstLine="480"/>
                    <w:jc w:val="center"/>
                    <w:rPr>
                      <w:rFonts w:hint="eastAsia" w:ascii="宋体" w:hAnsi="宋体"/>
                    </w:rPr>
                  </w:pPr>
                  <w:r>
                    <w:rPr>
                      <w:rFonts w:hint="eastAsia" w:ascii="宋体" w:hAnsi="宋体"/>
                    </w:rPr>
                    <w:t>秘书</w:t>
                  </w:r>
                </w:p>
              </w:tc>
              <w:tc>
                <w:tcPr>
                  <w:tcW w:w="1300" w:type="dxa"/>
                  <w:vAlign w:val="center"/>
                </w:tcPr>
                <w:p w14:paraId="5A4483B4">
                  <w:pPr>
                    <w:ind w:firstLine="480"/>
                    <w:jc w:val="center"/>
                    <w:rPr>
                      <w:rFonts w:hint="eastAsia" w:ascii="宋体" w:hAnsi="宋体"/>
                      <w:szCs w:val="21"/>
                    </w:rPr>
                  </w:pPr>
                </w:p>
              </w:tc>
              <w:tc>
                <w:tcPr>
                  <w:tcW w:w="1301" w:type="dxa"/>
                  <w:vAlign w:val="center"/>
                </w:tcPr>
                <w:p w14:paraId="117D6EA7">
                  <w:pPr>
                    <w:ind w:firstLine="480"/>
                    <w:jc w:val="center"/>
                    <w:rPr>
                      <w:rFonts w:hint="eastAsia" w:ascii="宋体" w:hAnsi="宋体"/>
                      <w:szCs w:val="21"/>
                    </w:rPr>
                  </w:pPr>
                </w:p>
              </w:tc>
              <w:tc>
                <w:tcPr>
                  <w:tcW w:w="2295" w:type="dxa"/>
                  <w:vAlign w:val="center"/>
                </w:tcPr>
                <w:p w14:paraId="140AC37A">
                  <w:pPr>
                    <w:ind w:firstLine="480"/>
                    <w:jc w:val="center"/>
                    <w:rPr>
                      <w:rFonts w:hint="eastAsia" w:ascii="宋体" w:hAnsi="宋体"/>
                      <w:szCs w:val="21"/>
                    </w:rPr>
                  </w:pPr>
                </w:p>
              </w:tc>
              <w:tc>
                <w:tcPr>
                  <w:tcW w:w="2163" w:type="dxa"/>
                  <w:vAlign w:val="center"/>
                </w:tcPr>
                <w:p w14:paraId="7BF9EBBE">
                  <w:pPr>
                    <w:ind w:firstLine="480"/>
                    <w:jc w:val="center"/>
                    <w:rPr>
                      <w:rFonts w:hint="eastAsia" w:ascii="宋体" w:hAnsi="宋体"/>
                    </w:rPr>
                  </w:pPr>
                </w:p>
              </w:tc>
            </w:tr>
          </w:tbl>
          <w:p w14:paraId="516768B6">
            <w:pPr>
              <w:ind w:firstLine="560"/>
              <w:rPr>
                <w:rFonts w:eastAsia="仿宋_GB2312"/>
                <w:sz w:val="28"/>
              </w:rPr>
            </w:pPr>
          </w:p>
          <w:p w14:paraId="0728ECFB">
            <w:pPr>
              <w:spacing w:before="156" w:beforeLines="50"/>
              <w:ind w:firstLine="5880" w:firstLineChars="2100"/>
              <w:rPr>
                <w:rFonts w:eastAsia="仿宋_GB2312"/>
                <w:sz w:val="28"/>
              </w:rPr>
            </w:pPr>
            <w:r>
              <w:rPr>
                <w:rFonts w:hint="eastAsia" w:eastAsia="仿宋_GB2312"/>
                <w:sz w:val="28"/>
              </w:rPr>
              <w:t>年    月    日</w:t>
            </w:r>
          </w:p>
        </w:tc>
      </w:tr>
    </w:tbl>
    <w:p w14:paraId="5D6B43E9">
      <w:pPr>
        <w:ind w:firstLine="480"/>
      </w:pPr>
    </w:p>
    <w:sectPr>
      <w:headerReference r:id="rId9" w:type="first"/>
      <w:footerReference r:id="rId12" w:type="first"/>
      <w:headerReference r:id="rId7" w:type="default"/>
      <w:footerReference r:id="rId10" w:type="default"/>
      <w:headerReference r:id="rId8" w:type="even"/>
      <w:footerReference r:id="rId11" w:type="even"/>
      <w:pgSz w:w="11906" w:h="16838"/>
      <w:pgMar w:top="1440" w:right="1800" w:bottom="1440" w:left="1800" w:header="851" w:footer="992" w:gutter="0"/>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云天" w:date="2024-12-19T09:01:00Z" w:initials="">
    <w:p w14:paraId="7FB9A911">
      <w:pPr>
        <w:pStyle w:val="5"/>
        <w:ind w:firstLine="480"/>
      </w:pPr>
      <w:r>
        <w:rPr>
          <w:rFonts w:hint="eastAsia"/>
        </w:rPr>
        <w:t>上标</w:t>
      </w:r>
    </w:p>
  </w:comment>
  <w:comment w:id="1" w:author="云天" w:date="2024-12-19T08:46:00Z" w:initials="">
    <w:p w14:paraId="190605C4">
      <w:pPr>
        <w:pStyle w:val="5"/>
        <w:ind w:firstLine="480"/>
      </w:pPr>
      <w:r>
        <w:rPr>
          <w:rFonts w:hint="eastAsia"/>
        </w:rPr>
        <w:t>1、如果结合视觉，不采用双机器人，会存在说明缺陷？2、即使其他人采用了“结合视觉，不采用双机器人”，还存在哪些问题？</w:t>
      </w:r>
    </w:p>
    <w:p w14:paraId="21056E3E">
      <w:pPr>
        <w:pStyle w:val="5"/>
        <w:ind w:firstLine="480"/>
      </w:pPr>
      <w:r>
        <w:rPr>
          <w:rFonts w:hint="eastAsia"/>
        </w:rPr>
        <w:t>缺少分析总结，提出思路：现在的具体存在的问题是哪些？通过以上分析，你的研究思路如何？</w:t>
      </w:r>
    </w:p>
  </w:comment>
  <w:comment w:id="2" w:author="云天" w:date="2024-12-19T08:59:00Z" w:initials="">
    <w:p w14:paraId="04411D70">
      <w:pPr>
        <w:pStyle w:val="5"/>
        <w:ind w:firstLine="480"/>
      </w:pPr>
      <w:r>
        <w:rPr>
          <w:rFonts w:hint="eastAsia"/>
        </w:rPr>
        <w:t>全部参考文献的格式要认证核对一下。</w:t>
      </w:r>
    </w:p>
  </w:comment>
  <w:comment w:id="3" w:author="云天" w:date="2024-12-19T08:54:00Z" w:initials="">
    <w:p w14:paraId="2EE6F95B">
      <w:pPr>
        <w:pStyle w:val="5"/>
        <w:ind w:firstLine="480"/>
      </w:pPr>
      <w:r>
        <w:rPr>
          <w:rFonts w:hint="eastAsia"/>
        </w:rPr>
        <w:t>前面总结提出的问题和思路，是不是搭建一个硬件结构就可以解决？从控制方法、控制策略、控制算法等方面需不需要重点研究，然后才是硬件结构？</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FB9A911" w15:done="0"/>
  <w15:commentEx w15:paraId="21056E3E" w15:done="0"/>
  <w15:commentEx w15:paraId="04411D70" w15:done="0"/>
  <w15:commentEx w15:paraId="2EE6F95B"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D180EC">
    <w:pPr>
      <w:pStyle w:val="6"/>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972292">
    <w:pPr>
      <w:pStyle w:val="6"/>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2EF528">
    <w:pPr>
      <w:pStyle w:val="6"/>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8AA125">
    <w:pPr>
      <w:pStyle w:val="7"/>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7AA566">
    <w:pPr>
      <w:pStyle w:val="7"/>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1E4DED">
    <w:pPr>
      <w:pStyle w:val="7"/>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ED1BAA"/>
    <w:multiLevelType w:val="multilevel"/>
    <w:tmpl w:val="01ED1BAA"/>
    <w:lvl w:ilvl="0" w:tentative="0">
      <w:start w:val="1"/>
      <w:numFmt w:val="decimal"/>
      <w:lvlText w:val="%1."/>
      <w:lvlJc w:val="left"/>
      <w:pPr>
        <w:ind w:left="560" w:hanging="360"/>
      </w:pPr>
      <w:rPr>
        <w:rFonts w:hint="default"/>
        <w:b w:val="0"/>
      </w:rPr>
    </w:lvl>
    <w:lvl w:ilvl="1" w:tentative="0">
      <w:start w:val="1"/>
      <w:numFmt w:val="lowerLetter"/>
      <w:lvlText w:val="%2)"/>
      <w:lvlJc w:val="left"/>
      <w:pPr>
        <w:ind w:left="1080" w:hanging="440"/>
      </w:pPr>
    </w:lvl>
    <w:lvl w:ilvl="2" w:tentative="0">
      <w:start w:val="1"/>
      <w:numFmt w:val="lowerRoman"/>
      <w:lvlText w:val="%3."/>
      <w:lvlJc w:val="right"/>
      <w:pPr>
        <w:ind w:left="1520" w:hanging="440"/>
      </w:pPr>
    </w:lvl>
    <w:lvl w:ilvl="3" w:tentative="0">
      <w:start w:val="1"/>
      <w:numFmt w:val="decimal"/>
      <w:lvlText w:val="%4."/>
      <w:lvlJc w:val="left"/>
      <w:pPr>
        <w:ind w:left="1960" w:hanging="440"/>
      </w:pPr>
    </w:lvl>
    <w:lvl w:ilvl="4" w:tentative="0">
      <w:start w:val="1"/>
      <w:numFmt w:val="lowerLetter"/>
      <w:lvlText w:val="%5)"/>
      <w:lvlJc w:val="left"/>
      <w:pPr>
        <w:ind w:left="2400" w:hanging="440"/>
      </w:pPr>
    </w:lvl>
    <w:lvl w:ilvl="5" w:tentative="0">
      <w:start w:val="1"/>
      <w:numFmt w:val="lowerRoman"/>
      <w:lvlText w:val="%6."/>
      <w:lvlJc w:val="right"/>
      <w:pPr>
        <w:ind w:left="2840" w:hanging="440"/>
      </w:pPr>
    </w:lvl>
    <w:lvl w:ilvl="6" w:tentative="0">
      <w:start w:val="1"/>
      <w:numFmt w:val="decimal"/>
      <w:lvlText w:val="%7."/>
      <w:lvlJc w:val="left"/>
      <w:pPr>
        <w:ind w:left="3280" w:hanging="440"/>
      </w:pPr>
    </w:lvl>
    <w:lvl w:ilvl="7" w:tentative="0">
      <w:start w:val="1"/>
      <w:numFmt w:val="lowerLetter"/>
      <w:lvlText w:val="%8)"/>
      <w:lvlJc w:val="left"/>
      <w:pPr>
        <w:ind w:left="3720" w:hanging="440"/>
      </w:pPr>
    </w:lvl>
    <w:lvl w:ilvl="8" w:tentative="0">
      <w:start w:val="1"/>
      <w:numFmt w:val="lowerRoman"/>
      <w:lvlText w:val="%9."/>
      <w:lvlJc w:val="right"/>
      <w:pPr>
        <w:ind w:left="4160" w:hanging="440"/>
      </w:pPr>
    </w:lvl>
  </w:abstractNum>
  <w:abstractNum w:abstractNumId="1">
    <w:nsid w:val="0CEC6C73"/>
    <w:multiLevelType w:val="multilevel"/>
    <w:tmpl w:val="0CEC6C73"/>
    <w:lvl w:ilvl="0" w:tentative="0">
      <w:start w:val="1"/>
      <w:numFmt w:val="japaneseCounting"/>
      <w:lvlText w:val="%1、"/>
      <w:lvlJc w:val="left"/>
      <w:pPr>
        <w:ind w:left="1282" w:hanging="720"/>
      </w:pPr>
      <w:rPr>
        <w:rFonts w:hint="default"/>
      </w:rPr>
    </w:lvl>
    <w:lvl w:ilvl="1" w:tentative="0">
      <w:start w:val="1"/>
      <w:numFmt w:val="lowerLetter"/>
      <w:lvlText w:val="%2)"/>
      <w:lvlJc w:val="left"/>
      <w:pPr>
        <w:ind w:left="1442" w:hanging="440"/>
      </w:pPr>
    </w:lvl>
    <w:lvl w:ilvl="2" w:tentative="0">
      <w:start w:val="1"/>
      <w:numFmt w:val="lowerRoman"/>
      <w:lvlText w:val="%3."/>
      <w:lvlJc w:val="right"/>
      <w:pPr>
        <w:ind w:left="1882" w:hanging="440"/>
      </w:pPr>
    </w:lvl>
    <w:lvl w:ilvl="3" w:tentative="0">
      <w:start w:val="1"/>
      <w:numFmt w:val="decimal"/>
      <w:lvlText w:val="%4."/>
      <w:lvlJc w:val="left"/>
      <w:pPr>
        <w:ind w:left="2322" w:hanging="440"/>
      </w:pPr>
    </w:lvl>
    <w:lvl w:ilvl="4" w:tentative="0">
      <w:start w:val="1"/>
      <w:numFmt w:val="lowerLetter"/>
      <w:lvlText w:val="%5)"/>
      <w:lvlJc w:val="left"/>
      <w:pPr>
        <w:ind w:left="2762" w:hanging="440"/>
      </w:pPr>
    </w:lvl>
    <w:lvl w:ilvl="5" w:tentative="0">
      <w:start w:val="1"/>
      <w:numFmt w:val="lowerRoman"/>
      <w:lvlText w:val="%6."/>
      <w:lvlJc w:val="right"/>
      <w:pPr>
        <w:ind w:left="3202" w:hanging="440"/>
      </w:pPr>
    </w:lvl>
    <w:lvl w:ilvl="6" w:tentative="0">
      <w:start w:val="1"/>
      <w:numFmt w:val="decimal"/>
      <w:lvlText w:val="%7."/>
      <w:lvlJc w:val="left"/>
      <w:pPr>
        <w:ind w:left="3642" w:hanging="440"/>
      </w:pPr>
    </w:lvl>
    <w:lvl w:ilvl="7" w:tentative="0">
      <w:start w:val="1"/>
      <w:numFmt w:val="lowerLetter"/>
      <w:lvlText w:val="%8)"/>
      <w:lvlJc w:val="left"/>
      <w:pPr>
        <w:ind w:left="4082" w:hanging="440"/>
      </w:pPr>
    </w:lvl>
    <w:lvl w:ilvl="8" w:tentative="0">
      <w:start w:val="1"/>
      <w:numFmt w:val="lowerRoman"/>
      <w:lvlText w:val="%9."/>
      <w:lvlJc w:val="right"/>
      <w:pPr>
        <w:ind w:left="4522" w:hanging="440"/>
      </w:pPr>
    </w:lvl>
  </w:abstractNum>
  <w:abstractNum w:abstractNumId="2">
    <w:nsid w:val="22CA513E"/>
    <w:multiLevelType w:val="multilevel"/>
    <w:tmpl w:val="22CA513E"/>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29738154"/>
    <w:multiLevelType w:val="multilevel"/>
    <w:tmpl w:val="29738154"/>
    <w:lvl w:ilvl="0" w:tentative="0">
      <w:start w:val="1"/>
      <w:numFmt w:val="decimal"/>
      <w:suff w:val="space"/>
      <w:lvlText w:val="(%1)"/>
      <w:lvlJc w:val="left"/>
      <w:pPr>
        <w:ind w:left="600" w:hanging="487"/>
      </w:pPr>
      <w:rPr>
        <w:rFonts w:hint="default"/>
      </w:rPr>
    </w:lvl>
    <w:lvl w:ilvl="1" w:tentative="0">
      <w:start w:val="1"/>
      <w:numFmt w:val="lowerLetter"/>
      <w:lvlText w:val="%2)"/>
      <w:lvlJc w:val="left"/>
      <w:pPr>
        <w:ind w:left="1120" w:hanging="440"/>
      </w:pPr>
    </w:lvl>
    <w:lvl w:ilvl="2" w:tentative="0">
      <w:start w:val="1"/>
      <w:numFmt w:val="lowerRoman"/>
      <w:lvlText w:val="%3."/>
      <w:lvlJc w:val="right"/>
      <w:pPr>
        <w:ind w:left="1560" w:hanging="440"/>
      </w:pPr>
    </w:lvl>
    <w:lvl w:ilvl="3" w:tentative="0">
      <w:start w:val="1"/>
      <w:numFmt w:val="decimal"/>
      <w:lvlText w:val="%4."/>
      <w:lvlJc w:val="left"/>
      <w:pPr>
        <w:ind w:left="2000" w:hanging="440"/>
      </w:pPr>
    </w:lvl>
    <w:lvl w:ilvl="4" w:tentative="0">
      <w:start w:val="1"/>
      <w:numFmt w:val="lowerLetter"/>
      <w:lvlText w:val="%5)"/>
      <w:lvlJc w:val="left"/>
      <w:pPr>
        <w:ind w:left="2440" w:hanging="440"/>
      </w:pPr>
    </w:lvl>
    <w:lvl w:ilvl="5" w:tentative="0">
      <w:start w:val="1"/>
      <w:numFmt w:val="lowerRoman"/>
      <w:lvlText w:val="%6."/>
      <w:lvlJc w:val="right"/>
      <w:pPr>
        <w:ind w:left="2880" w:hanging="440"/>
      </w:pPr>
    </w:lvl>
    <w:lvl w:ilvl="6" w:tentative="0">
      <w:start w:val="1"/>
      <w:numFmt w:val="decimal"/>
      <w:lvlText w:val="%7."/>
      <w:lvlJc w:val="left"/>
      <w:pPr>
        <w:ind w:left="3320" w:hanging="440"/>
      </w:pPr>
    </w:lvl>
    <w:lvl w:ilvl="7" w:tentative="0">
      <w:start w:val="1"/>
      <w:numFmt w:val="lowerLetter"/>
      <w:lvlText w:val="%8)"/>
      <w:lvlJc w:val="left"/>
      <w:pPr>
        <w:ind w:left="3760" w:hanging="440"/>
      </w:pPr>
    </w:lvl>
    <w:lvl w:ilvl="8" w:tentative="0">
      <w:start w:val="1"/>
      <w:numFmt w:val="lowerRoman"/>
      <w:lvlText w:val="%9."/>
      <w:lvlJc w:val="right"/>
      <w:pPr>
        <w:ind w:left="4200" w:hanging="440"/>
      </w:pPr>
    </w:lvl>
  </w:abstractNum>
  <w:abstractNum w:abstractNumId="4">
    <w:nsid w:val="57604C7F"/>
    <w:multiLevelType w:val="multilevel"/>
    <w:tmpl w:val="57604C7F"/>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69791399"/>
    <w:multiLevelType w:val="multilevel"/>
    <w:tmpl w:val="69791399"/>
    <w:lvl w:ilvl="0" w:tentative="0">
      <w:start w:val="1"/>
      <w:numFmt w:val="decimal"/>
      <w:lvlText w:val="%1."/>
      <w:lvlJc w:val="left"/>
      <w:pPr>
        <w:ind w:left="360" w:hanging="360"/>
      </w:pPr>
      <w:rPr>
        <w:rFonts w:ascii="宋体" w:hAnsi="宋体" w:eastAsia="宋体" w:cs="宋体"/>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0"/>
  </w:num>
  <w:num w:numId="3">
    <w:abstractNumId w:val="3"/>
  </w:num>
  <w:num w:numId="4">
    <w:abstractNumId w:val="2"/>
  </w:num>
  <w:num w:numId="5">
    <w:abstractNumId w:val="4"/>
  </w:num>
  <w:num w:numId="6">
    <w:abstractNumId w:val="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云天">
    <w15:presenceInfo w15:providerId="None" w15:userId="云天"/>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WNjYmIwODQ2YjBkZTg3MjgzMjg5ZmNiZjdjOGE1NTEifQ=="/>
  </w:docVars>
  <w:rsids>
    <w:rsidRoot w:val="006C67EA"/>
    <w:rsid w:val="00002B32"/>
    <w:rsid w:val="0000492A"/>
    <w:rsid w:val="00014C34"/>
    <w:rsid w:val="000301EF"/>
    <w:rsid w:val="00030FBB"/>
    <w:rsid w:val="00031965"/>
    <w:rsid w:val="0003374C"/>
    <w:rsid w:val="0004319D"/>
    <w:rsid w:val="00060D2E"/>
    <w:rsid w:val="00072E69"/>
    <w:rsid w:val="00077AD0"/>
    <w:rsid w:val="00097C66"/>
    <w:rsid w:val="000A1F5F"/>
    <w:rsid w:val="000A29B4"/>
    <w:rsid w:val="000D4F16"/>
    <w:rsid w:val="000E03A5"/>
    <w:rsid w:val="000E6C86"/>
    <w:rsid w:val="001014A4"/>
    <w:rsid w:val="00117DA1"/>
    <w:rsid w:val="00124257"/>
    <w:rsid w:val="00130022"/>
    <w:rsid w:val="00134FA6"/>
    <w:rsid w:val="00145E74"/>
    <w:rsid w:val="00146778"/>
    <w:rsid w:val="00150192"/>
    <w:rsid w:val="00152464"/>
    <w:rsid w:val="001529FD"/>
    <w:rsid w:val="00155122"/>
    <w:rsid w:val="00162EEB"/>
    <w:rsid w:val="00165BA8"/>
    <w:rsid w:val="001669DE"/>
    <w:rsid w:val="001677DA"/>
    <w:rsid w:val="001821FF"/>
    <w:rsid w:val="00182244"/>
    <w:rsid w:val="001A69D0"/>
    <w:rsid w:val="001A7F59"/>
    <w:rsid w:val="001B4447"/>
    <w:rsid w:val="001B497B"/>
    <w:rsid w:val="001D4A90"/>
    <w:rsid w:val="00201480"/>
    <w:rsid w:val="00202FAC"/>
    <w:rsid w:val="0020373B"/>
    <w:rsid w:val="0021611C"/>
    <w:rsid w:val="00224CB2"/>
    <w:rsid w:val="00227684"/>
    <w:rsid w:val="0023672E"/>
    <w:rsid w:val="00237475"/>
    <w:rsid w:val="002401C6"/>
    <w:rsid w:val="00241B8C"/>
    <w:rsid w:val="00257B83"/>
    <w:rsid w:val="002623B6"/>
    <w:rsid w:val="00266A4B"/>
    <w:rsid w:val="0026785A"/>
    <w:rsid w:val="002726E5"/>
    <w:rsid w:val="002901A7"/>
    <w:rsid w:val="002A1C21"/>
    <w:rsid w:val="002A2F03"/>
    <w:rsid w:val="002C58A3"/>
    <w:rsid w:val="002D0346"/>
    <w:rsid w:val="002E0E79"/>
    <w:rsid w:val="002E7BD0"/>
    <w:rsid w:val="002F093A"/>
    <w:rsid w:val="002F165E"/>
    <w:rsid w:val="002F3BFA"/>
    <w:rsid w:val="003148A9"/>
    <w:rsid w:val="00326594"/>
    <w:rsid w:val="0034629D"/>
    <w:rsid w:val="00352633"/>
    <w:rsid w:val="00366A6A"/>
    <w:rsid w:val="003A0D0B"/>
    <w:rsid w:val="003A3194"/>
    <w:rsid w:val="003A4803"/>
    <w:rsid w:val="003B4D95"/>
    <w:rsid w:val="003C16FD"/>
    <w:rsid w:val="003C6B0E"/>
    <w:rsid w:val="003E0F5A"/>
    <w:rsid w:val="003E7C6C"/>
    <w:rsid w:val="003F13C5"/>
    <w:rsid w:val="003F5F68"/>
    <w:rsid w:val="003F65C3"/>
    <w:rsid w:val="004035F2"/>
    <w:rsid w:val="00406CD0"/>
    <w:rsid w:val="00410726"/>
    <w:rsid w:val="00414688"/>
    <w:rsid w:val="0042011F"/>
    <w:rsid w:val="004231DF"/>
    <w:rsid w:val="004601D2"/>
    <w:rsid w:val="00472AE1"/>
    <w:rsid w:val="00473E58"/>
    <w:rsid w:val="0047777D"/>
    <w:rsid w:val="00487674"/>
    <w:rsid w:val="00493033"/>
    <w:rsid w:val="004A1A7A"/>
    <w:rsid w:val="004A508C"/>
    <w:rsid w:val="004A65B8"/>
    <w:rsid w:val="004B1EC0"/>
    <w:rsid w:val="004B698F"/>
    <w:rsid w:val="004C58FC"/>
    <w:rsid w:val="004C759E"/>
    <w:rsid w:val="004D5DBA"/>
    <w:rsid w:val="004E790C"/>
    <w:rsid w:val="004F70DB"/>
    <w:rsid w:val="00514703"/>
    <w:rsid w:val="00525ABF"/>
    <w:rsid w:val="00531DA2"/>
    <w:rsid w:val="00535E91"/>
    <w:rsid w:val="00545011"/>
    <w:rsid w:val="00563CE2"/>
    <w:rsid w:val="00570049"/>
    <w:rsid w:val="005818DA"/>
    <w:rsid w:val="00583A27"/>
    <w:rsid w:val="005A300F"/>
    <w:rsid w:val="005B705D"/>
    <w:rsid w:val="005D05BD"/>
    <w:rsid w:val="005D11CA"/>
    <w:rsid w:val="005D3D67"/>
    <w:rsid w:val="005E43AB"/>
    <w:rsid w:val="005F1F7A"/>
    <w:rsid w:val="005F3B7F"/>
    <w:rsid w:val="005F6D5A"/>
    <w:rsid w:val="00600E3E"/>
    <w:rsid w:val="00605D38"/>
    <w:rsid w:val="00617007"/>
    <w:rsid w:val="00623E36"/>
    <w:rsid w:val="00635307"/>
    <w:rsid w:val="006360BD"/>
    <w:rsid w:val="00636EA5"/>
    <w:rsid w:val="00637F21"/>
    <w:rsid w:val="00661338"/>
    <w:rsid w:val="006646F6"/>
    <w:rsid w:val="006654B2"/>
    <w:rsid w:val="0068178E"/>
    <w:rsid w:val="00683A96"/>
    <w:rsid w:val="006A5205"/>
    <w:rsid w:val="006B266D"/>
    <w:rsid w:val="006C67EA"/>
    <w:rsid w:val="006C7C05"/>
    <w:rsid w:val="006E1D21"/>
    <w:rsid w:val="006F223D"/>
    <w:rsid w:val="00703F9F"/>
    <w:rsid w:val="00710282"/>
    <w:rsid w:val="00715A31"/>
    <w:rsid w:val="0072340B"/>
    <w:rsid w:val="00727B8F"/>
    <w:rsid w:val="00727C35"/>
    <w:rsid w:val="00730E1B"/>
    <w:rsid w:val="007355E3"/>
    <w:rsid w:val="00737F2E"/>
    <w:rsid w:val="0074007E"/>
    <w:rsid w:val="0074151E"/>
    <w:rsid w:val="00743AA5"/>
    <w:rsid w:val="007472EE"/>
    <w:rsid w:val="00754CA8"/>
    <w:rsid w:val="0075610D"/>
    <w:rsid w:val="007903C1"/>
    <w:rsid w:val="00791791"/>
    <w:rsid w:val="00795F02"/>
    <w:rsid w:val="007B4C9B"/>
    <w:rsid w:val="007C7572"/>
    <w:rsid w:val="007D0331"/>
    <w:rsid w:val="007D1A6E"/>
    <w:rsid w:val="007E1B44"/>
    <w:rsid w:val="007E476B"/>
    <w:rsid w:val="007E4B43"/>
    <w:rsid w:val="008253FC"/>
    <w:rsid w:val="00827F3D"/>
    <w:rsid w:val="008322E1"/>
    <w:rsid w:val="00834A4D"/>
    <w:rsid w:val="0086481F"/>
    <w:rsid w:val="00866EDB"/>
    <w:rsid w:val="00897D37"/>
    <w:rsid w:val="008B077F"/>
    <w:rsid w:val="008B0CFF"/>
    <w:rsid w:val="008B26B4"/>
    <w:rsid w:val="008B50B9"/>
    <w:rsid w:val="008C11E4"/>
    <w:rsid w:val="008C18E7"/>
    <w:rsid w:val="008C5AC0"/>
    <w:rsid w:val="008C660E"/>
    <w:rsid w:val="008E7668"/>
    <w:rsid w:val="008F5090"/>
    <w:rsid w:val="00907670"/>
    <w:rsid w:val="009215C0"/>
    <w:rsid w:val="00922A19"/>
    <w:rsid w:val="00925E5A"/>
    <w:rsid w:val="00970155"/>
    <w:rsid w:val="00983B4B"/>
    <w:rsid w:val="00986E40"/>
    <w:rsid w:val="00992A7F"/>
    <w:rsid w:val="009968B7"/>
    <w:rsid w:val="009970DD"/>
    <w:rsid w:val="009A225A"/>
    <w:rsid w:val="009A4EF3"/>
    <w:rsid w:val="009D3AB2"/>
    <w:rsid w:val="009E1C74"/>
    <w:rsid w:val="009E3090"/>
    <w:rsid w:val="00A07D1B"/>
    <w:rsid w:val="00A23D62"/>
    <w:rsid w:val="00A2674C"/>
    <w:rsid w:val="00A3152B"/>
    <w:rsid w:val="00A357A4"/>
    <w:rsid w:val="00A462D8"/>
    <w:rsid w:val="00A47872"/>
    <w:rsid w:val="00A565D3"/>
    <w:rsid w:val="00A63DAF"/>
    <w:rsid w:val="00A718D2"/>
    <w:rsid w:val="00A90EF9"/>
    <w:rsid w:val="00A9321F"/>
    <w:rsid w:val="00AA0F7E"/>
    <w:rsid w:val="00AB31F3"/>
    <w:rsid w:val="00AB681D"/>
    <w:rsid w:val="00B07A1A"/>
    <w:rsid w:val="00B1017B"/>
    <w:rsid w:val="00B14DCB"/>
    <w:rsid w:val="00B1718F"/>
    <w:rsid w:val="00B331D0"/>
    <w:rsid w:val="00B3380C"/>
    <w:rsid w:val="00B51AF8"/>
    <w:rsid w:val="00B54DFA"/>
    <w:rsid w:val="00B578C6"/>
    <w:rsid w:val="00B73B29"/>
    <w:rsid w:val="00B74BE7"/>
    <w:rsid w:val="00B86F8E"/>
    <w:rsid w:val="00B919D0"/>
    <w:rsid w:val="00B967AC"/>
    <w:rsid w:val="00B97CC3"/>
    <w:rsid w:val="00BA2345"/>
    <w:rsid w:val="00BA6023"/>
    <w:rsid w:val="00BA7DC8"/>
    <w:rsid w:val="00BB0685"/>
    <w:rsid w:val="00BB39DE"/>
    <w:rsid w:val="00BD6834"/>
    <w:rsid w:val="00BF109B"/>
    <w:rsid w:val="00C06CFE"/>
    <w:rsid w:val="00C106C7"/>
    <w:rsid w:val="00C1083B"/>
    <w:rsid w:val="00C21A1E"/>
    <w:rsid w:val="00C23D1C"/>
    <w:rsid w:val="00C33E8C"/>
    <w:rsid w:val="00C47714"/>
    <w:rsid w:val="00C531BA"/>
    <w:rsid w:val="00C60102"/>
    <w:rsid w:val="00C63921"/>
    <w:rsid w:val="00C675C2"/>
    <w:rsid w:val="00C80A2A"/>
    <w:rsid w:val="00C84393"/>
    <w:rsid w:val="00CA1BA7"/>
    <w:rsid w:val="00CA2C42"/>
    <w:rsid w:val="00CB0451"/>
    <w:rsid w:val="00CB4542"/>
    <w:rsid w:val="00CB6EBD"/>
    <w:rsid w:val="00CC3DE6"/>
    <w:rsid w:val="00CC417C"/>
    <w:rsid w:val="00CD0CF8"/>
    <w:rsid w:val="00CE4B4F"/>
    <w:rsid w:val="00D00DDB"/>
    <w:rsid w:val="00D010DD"/>
    <w:rsid w:val="00D034DC"/>
    <w:rsid w:val="00D07414"/>
    <w:rsid w:val="00D11615"/>
    <w:rsid w:val="00D14173"/>
    <w:rsid w:val="00D44FFE"/>
    <w:rsid w:val="00D8307A"/>
    <w:rsid w:val="00D842D5"/>
    <w:rsid w:val="00D85BB0"/>
    <w:rsid w:val="00D86496"/>
    <w:rsid w:val="00D86D13"/>
    <w:rsid w:val="00D92DF9"/>
    <w:rsid w:val="00D937D6"/>
    <w:rsid w:val="00DB063A"/>
    <w:rsid w:val="00DB0F92"/>
    <w:rsid w:val="00DD48B0"/>
    <w:rsid w:val="00DD646E"/>
    <w:rsid w:val="00DE263A"/>
    <w:rsid w:val="00DF1E44"/>
    <w:rsid w:val="00DF5351"/>
    <w:rsid w:val="00E26DE8"/>
    <w:rsid w:val="00E30A74"/>
    <w:rsid w:val="00E37C28"/>
    <w:rsid w:val="00E4289E"/>
    <w:rsid w:val="00E56D3F"/>
    <w:rsid w:val="00E713B7"/>
    <w:rsid w:val="00E763D1"/>
    <w:rsid w:val="00E849E5"/>
    <w:rsid w:val="00E9170F"/>
    <w:rsid w:val="00E9359C"/>
    <w:rsid w:val="00E9743B"/>
    <w:rsid w:val="00EC7F97"/>
    <w:rsid w:val="00F02824"/>
    <w:rsid w:val="00F23489"/>
    <w:rsid w:val="00F40C91"/>
    <w:rsid w:val="00F4328A"/>
    <w:rsid w:val="00F432B4"/>
    <w:rsid w:val="00F661DA"/>
    <w:rsid w:val="00F811EB"/>
    <w:rsid w:val="00F8288A"/>
    <w:rsid w:val="00F92735"/>
    <w:rsid w:val="00F945FB"/>
    <w:rsid w:val="00F9654F"/>
    <w:rsid w:val="00FA5C79"/>
    <w:rsid w:val="00FB0D2B"/>
    <w:rsid w:val="00FB1FEE"/>
    <w:rsid w:val="00FB3D81"/>
    <w:rsid w:val="00FD1C62"/>
    <w:rsid w:val="00FE28B1"/>
    <w:rsid w:val="00FE4E05"/>
    <w:rsid w:val="00FF32F8"/>
    <w:rsid w:val="01DE6D09"/>
    <w:rsid w:val="01FC4409"/>
    <w:rsid w:val="030950BD"/>
    <w:rsid w:val="03B86720"/>
    <w:rsid w:val="05E84430"/>
    <w:rsid w:val="05FA0603"/>
    <w:rsid w:val="072A0A1E"/>
    <w:rsid w:val="073766AD"/>
    <w:rsid w:val="075D64EC"/>
    <w:rsid w:val="0A272E1D"/>
    <w:rsid w:val="0C9B6F3C"/>
    <w:rsid w:val="0EE96807"/>
    <w:rsid w:val="0F424340"/>
    <w:rsid w:val="0F6A6824"/>
    <w:rsid w:val="106317C1"/>
    <w:rsid w:val="14C44B4E"/>
    <w:rsid w:val="15253159"/>
    <w:rsid w:val="18095344"/>
    <w:rsid w:val="1A55661F"/>
    <w:rsid w:val="1AB02BF7"/>
    <w:rsid w:val="1C2409BE"/>
    <w:rsid w:val="1D927B8A"/>
    <w:rsid w:val="1E3D5D47"/>
    <w:rsid w:val="1EE05F17"/>
    <w:rsid w:val="1EF041CE"/>
    <w:rsid w:val="20B52727"/>
    <w:rsid w:val="234A09CD"/>
    <w:rsid w:val="236553F8"/>
    <w:rsid w:val="24676446"/>
    <w:rsid w:val="24A061A3"/>
    <w:rsid w:val="25950C95"/>
    <w:rsid w:val="2A3B5083"/>
    <w:rsid w:val="2AB729DE"/>
    <w:rsid w:val="2F9C0F7D"/>
    <w:rsid w:val="31533773"/>
    <w:rsid w:val="31AE3914"/>
    <w:rsid w:val="32F318C8"/>
    <w:rsid w:val="32FB781C"/>
    <w:rsid w:val="33CF0D98"/>
    <w:rsid w:val="344E7D7A"/>
    <w:rsid w:val="37E312B6"/>
    <w:rsid w:val="38284F1B"/>
    <w:rsid w:val="38367DA0"/>
    <w:rsid w:val="392F4087"/>
    <w:rsid w:val="3A2B49E7"/>
    <w:rsid w:val="3AAF36D1"/>
    <w:rsid w:val="3BF750E1"/>
    <w:rsid w:val="3CB97A86"/>
    <w:rsid w:val="3CFA7ED2"/>
    <w:rsid w:val="3D001FC2"/>
    <w:rsid w:val="3E74409F"/>
    <w:rsid w:val="3F8A2BF3"/>
    <w:rsid w:val="40D018E3"/>
    <w:rsid w:val="40E105F6"/>
    <w:rsid w:val="41AC096A"/>
    <w:rsid w:val="425E1574"/>
    <w:rsid w:val="46665873"/>
    <w:rsid w:val="46D71860"/>
    <w:rsid w:val="46E4532B"/>
    <w:rsid w:val="46F661E4"/>
    <w:rsid w:val="47617D38"/>
    <w:rsid w:val="480905B9"/>
    <w:rsid w:val="488745F7"/>
    <w:rsid w:val="4A5B1400"/>
    <w:rsid w:val="4B70334A"/>
    <w:rsid w:val="4C93582C"/>
    <w:rsid w:val="4D5B4FF3"/>
    <w:rsid w:val="4EB77C34"/>
    <w:rsid w:val="4EC23003"/>
    <w:rsid w:val="51BF066F"/>
    <w:rsid w:val="53F43D78"/>
    <w:rsid w:val="55236D3E"/>
    <w:rsid w:val="57680A38"/>
    <w:rsid w:val="58C46142"/>
    <w:rsid w:val="58EC2620"/>
    <w:rsid w:val="591A2206"/>
    <w:rsid w:val="5A2210D7"/>
    <w:rsid w:val="5EEB0FCF"/>
    <w:rsid w:val="5FC20F25"/>
    <w:rsid w:val="61F53CCE"/>
    <w:rsid w:val="622F0AD0"/>
    <w:rsid w:val="640F1388"/>
    <w:rsid w:val="65FE7137"/>
    <w:rsid w:val="6659436D"/>
    <w:rsid w:val="67740ACB"/>
    <w:rsid w:val="680A1DAD"/>
    <w:rsid w:val="68CB0E27"/>
    <w:rsid w:val="693F506E"/>
    <w:rsid w:val="694035C3"/>
    <w:rsid w:val="6A9D03A4"/>
    <w:rsid w:val="6B96571C"/>
    <w:rsid w:val="6C496C32"/>
    <w:rsid w:val="6D0B60C8"/>
    <w:rsid w:val="6E696AE8"/>
    <w:rsid w:val="6EC84786"/>
    <w:rsid w:val="71BF534A"/>
    <w:rsid w:val="74244C50"/>
    <w:rsid w:val="74463314"/>
    <w:rsid w:val="74960002"/>
    <w:rsid w:val="75736ACE"/>
    <w:rsid w:val="7764686F"/>
    <w:rsid w:val="782B6041"/>
    <w:rsid w:val="7B0E399E"/>
    <w:rsid w:val="7D6513F2"/>
    <w:rsid w:val="7DBF6D54"/>
    <w:rsid w:val="7DD23A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unhideWhenUsed/>
    <w:qFormat/>
    <w:uiPriority w:val="0"/>
    <w:pPr>
      <w:keepNext/>
      <w:keepLines/>
      <w:spacing w:before="260" w:after="260" w:line="413" w:lineRule="auto"/>
      <w:outlineLvl w:val="1"/>
    </w:pPr>
    <w:rPr>
      <w:rFonts w:ascii="Arial" w:hAnsi="Arial" w:eastAsia="黑体"/>
      <w:b/>
      <w:sz w:val="32"/>
    </w:rPr>
  </w:style>
  <w:style w:type="paragraph" w:styleId="4">
    <w:name w:val="heading 3"/>
    <w:basedOn w:val="1"/>
    <w:next w:val="1"/>
    <w:unhideWhenUsed/>
    <w:qFormat/>
    <w:uiPriority w:val="0"/>
    <w:pPr>
      <w:spacing w:before="60" w:beforeAutospacing="1" w:afterAutospacing="1" w:line="240" w:lineRule="atLeast"/>
      <w:ind w:firstLine="0" w:firstLineChars="0"/>
      <w:jc w:val="left"/>
      <w:outlineLvl w:val="2"/>
    </w:pPr>
    <w:rPr>
      <w:rFonts w:hint="eastAsia" w:ascii="宋体" w:hAnsi="宋体"/>
      <w:b/>
      <w:bCs/>
      <w:kern w:val="0"/>
      <w:sz w:val="28"/>
      <w:szCs w:val="27"/>
    </w:rPr>
  </w:style>
  <w:style w:type="character" w:default="1" w:styleId="11">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18"/>
    <w:uiPriority w:val="0"/>
    <w:pPr>
      <w:jc w:val="left"/>
    </w:pPr>
  </w:style>
  <w:style w:type="paragraph" w:styleId="6">
    <w:name w:val="footer"/>
    <w:basedOn w:val="1"/>
    <w:link w:val="14"/>
    <w:qFormat/>
    <w:uiPriority w:val="0"/>
    <w:pPr>
      <w:tabs>
        <w:tab w:val="center" w:pos="4153"/>
        <w:tab w:val="right" w:pos="8306"/>
      </w:tabs>
      <w:snapToGrid w:val="0"/>
      <w:jc w:val="left"/>
    </w:pPr>
    <w:rPr>
      <w:sz w:val="18"/>
      <w:szCs w:val="18"/>
    </w:rPr>
  </w:style>
  <w:style w:type="paragraph" w:styleId="7">
    <w:name w:val="header"/>
    <w:basedOn w:val="1"/>
    <w:link w:val="15"/>
    <w:qFormat/>
    <w:uiPriority w:val="0"/>
    <w:pPr>
      <w:pBdr>
        <w:bottom w:val="single" w:color="auto" w:sz="6" w:space="1"/>
      </w:pBdr>
      <w:tabs>
        <w:tab w:val="center" w:pos="4153"/>
        <w:tab w:val="right" w:pos="8306"/>
      </w:tabs>
      <w:snapToGrid w:val="0"/>
      <w:jc w:val="center"/>
    </w:pPr>
    <w:rPr>
      <w:sz w:val="18"/>
      <w:szCs w:val="18"/>
    </w:rPr>
  </w:style>
  <w:style w:type="paragraph" w:styleId="8">
    <w:name w:val="annotation subject"/>
    <w:basedOn w:val="5"/>
    <w:next w:val="5"/>
    <w:link w:val="19"/>
    <w:qFormat/>
    <w:uiPriority w:val="0"/>
    <w:rPr>
      <w:b/>
      <w:bCs/>
    </w:rPr>
  </w:style>
  <w:style w:type="table" w:styleId="10">
    <w:name w:val="Table Grid"/>
    <w:basedOn w:val="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qFormat/>
    <w:uiPriority w:val="22"/>
    <w:rPr>
      <w:b/>
      <w:bCs/>
    </w:rPr>
  </w:style>
  <w:style w:type="character" w:styleId="13">
    <w:name w:val="annotation reference"/>
    <w:basedOn w:val="11"/>
    <w:qFormat/>
    <w:uiPriority w:val="0"/>
    <w:rPr>
      <w:sz w:val="21"/>
      <w:szCs w:val="21"/>
    </w:rPr>
  </w:style>
  <w:style w:type="character" w:customStyle="1" w:styleId="14">
    <w:name w:val="页脚 字符"/>
    <w:link w:val="6"/>
    <w:qFormat/>
    <w:uiPriority w:val="0"/>
    <w:rPr>
      <w:kern w:val="2"/>
      <w:sz w:val="18"/>
      <w:szCs w:val="18"/>
    </w:rPr>
  </w:style>
  <w:style w:type="character" w:customStyle="1" w:styleId="15">
    <w:name w:val="页眉 字符"/>
    <w:link w:val="7"/>
    <w:qFormat/>
    <w:uiPriority w:val="0"/>
    <w:rPr>
      <w:kern w:val="2"/>
      <w:sz w:val="18"/>
      <w:szCs w:val="18"/>
    </w:rPr>
  </w:style>
  <w:style w:type="paragraph" w:styleId="16">
    <w:name w:val="List Paragraph"/>
    <w:basedOn w:val="1"/>
    <w:qFormat/>
    <w:uiPriority w:val="99"/>
    <w:pPr>
      <w:ind w:firstLine="420"/>
    </w:pPr>
  </w:style>
  <w:style w:type="character" w:customStyle="1" w:styleId="17">
    <w:name w:val="ref_content_circle"/>
    <w:basedOn w:val="11"/>
    <w:qFormat/>
    <w:uiPriority w:val="0"/>
  </w:style>
  <w:style w:type="character" w:customStyle="1" w:styleId="18">
    <w:name w:val="批注文字 字符"/>
    <w:basedOn w:val="11"/>
    <w:link w:val="5"/>
    <w:qFormat/>
    <w:uiPriority w:val="0"/>
    <w:rPr>
      <w:kern w:val="2"/>
      <w:sz w:val="24"/>
      <w:szCs w:val="24"/>
    </w:rPr>
  </w:style>
  <w:style w:type="character" w:customStyle="1" w:styleId="19">
    <w:name w:val="批注主题 字符"/>
    <w:basedOn w:val="18"/>
    <w:link w:val="8"/>
    <w:qFormat/>
    <w:uiPriority w:val="0"/>
    <w:rPr>
      <w:b/>
      <w:bCs/>
      <w:kern w:val="2"/>
      <w:sz w:val="24"/>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0" Type="http://schemas.microsoft.com/office/2011/relationships/people" Target="people.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2.emf"/><Relationship Id="rId15" Type="http://schemas.openxmlformats.org/officeDocument/2006/relationships/package" Target="embeddings/Microsoft_Visio___1.vsdx"/><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E69729-C860-4117-B70C-CE377F419287}">
  <ds:schemaRefs/>
</ds:datastoreItem>
</file>

<file path=docProps/app.xml><?xml version="1.0" encoding="utf-8"?>
<Properties xmlns="http://schemas.openxmlformats.org/officeDocument/2006/extended-properties" xmlns:vt="http://schemas.openxmlformats.org/officeDocument/2006/docPropsVTypes">
  <Template>Normal</Template>
  <Company>Hewlett-Packard Company</Company>
  <Pages>18</Pages>
  <Words>9705</Words>
  <Characters>11604</Characters>
  <Lines>90</Lines>
  <Paragraphs>25</Paragraphs>
  <TotalTime>23</TotalTime>
  <ScaleCrop>false</ScaleCrop>
  <LinksUpToDate>false</LinksUpToDate>
  <CharactersWithSpaces>11960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2024-12-23T06:49:00Z</dcterms:created>
  <dc:creator>HP</dc:creator>
  <cp:lastModifiedBy>云天</cp:lastModifiedBy>
  <dcterms:modified xsi:type="dcterms:W3CDTF">2024-12-23T07:20:25Z</dcterms:modified>
  <dc:title>西南石油大学研究生学位论文</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0A38D235B1DE4AA3BD40C13FB491EA33_12</vt:lpwstr>
  </property>
</Properties>
</file>