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left"/>
      </w:pPr>
      <w:r>
        <w:rPr>
          <w:rFonts w:ascii="Arial" w:cs="Arial" w:eastAsia="Arial" w:hAnsi="Arial"/>
          <w:b/>
          <w:bCs/>
          <w:color w:val="1A5276"/>
          <w:sz w:val="46"/>
          <w:szCs w:val="46"/>
        </w:rPr>
        <w:t xml:space="preserve">ClawGuard</w:t>
      </w:r>
    </w:p>
    <w:p>
      <w:pPr>
        <w:spacing w:after="15" w:before="0"/>
        <w:jc w:val="left"/>
      </w:pPr>
      <w:r>
        <w:rPr>
          <w:rFonts w:ascii="Arial" w:cs="Arial" w:eastAsia="Arial" w:hAnsi="Arial"/>
          <w:i/>
          <w:iCs/>
          <w:color w:val="666666"/>
          <w:sz w:val="24"/>
          <w:szCs w:val="24"/>
        </w:rPr>
        <w:t xml:space="preserve">Skill Auditor for OpenClaw Agents</w:t>
      </w:r>
    </w:p>
    <w:p>
      <w:pPr>
        <w:spacing w:after="15" w:before="0"/>
        <w:jc w:val="left"/>
      </w:pPr>
      <w:r>
        <w:rPr>
          <w:rFonts w:ascii="Arial" w:cs="Arial" w:eastAsia="Arial" w:hAnsi="Arial"/>
          <w:b/>
          <w:bCs/>
          <w:color w:val="B7950B"/>
          <w:sz w:val="18"/>
          <w:szCs w:val="18"/>
        </w:rPr>
        <w:t xml:space="preserve">v2 — Updated with competitive analysis findings (March 2026)</w:t>
      </w:r>
    </w:p>
    <w:p>
      <w:pPr>
        <w:pBdr>
          <w:bottom w:val="single" w:color="1A5276" w:sz="6" w:space="6"/>
        </w:pBdr>
        <w:spacing w:after="120"/>
      </w:pPr>
      <w:r>
        <w:rPr>
          <w:rFonts w:ascii="Arial" w:cs="Arial" w:eastAsia="Arial" w:hAnsi="Arial"/>
          <w:color w:val="555555"/>
          <w:sz w:val="18"/>
          <w:szCs w:val="18"/>
        </w:rPr>
        <w:t xml:space="preserve">Engineering spec covering product context, competitive landscape, architecture, key capabilities, and success criteria. Amended sections are marked with ▶ AMENDED callouts.</w:t>
      </w:r>
    </w:p>
    <w:p>
      <w:pPr>
        <w:shd w:fill="1A5276" w:val="clear"/>
        <w:spacing w:after="100" w:before="220"/>
        <w:ind w:left="80" w:right="80"/>
      </w:pPr>
      <w:r>
        <w:rPr>
          <w:rFonts w:ascii="Arial" w:cs="Arial" w:eastAsia="Arial" w:hAnsi="Arial"/>
          <w:b/>
          <w:bCs/>
          <w:color w:val="FFFFFF"/>
          <w:sz w:val="21"/>
          <w:szCs w:val="21"/>
        </w:rPr>
        <w:t xml:space="preserve">CONTEXT: WHAT IS OPENCLAW</w:t>
      </w:r>
    </w:p>
    <w:p>
      <w:pPr>
        <w:spacing w:after="80" w:before="0"/>
        <w:jc w:val="left"/>
      </w:pPr>
      <w:r>
        <w:rPr>
          <w:rFonts w:ascii="Arial" w:cs="Arial" w:eastAsia="Arial" w:hAnsi="Arial"/>
          <w:b/>
          <w:bCs/>
          <w:color w:val="2C3E50"/>
          <w:sz w:val="18"/>
          <w:szCs w:val="18"/>
        </w:rPr>
        <w:t xml:space="preserve">OpenClaw</w:t>
      </w:r>
      <w:r>
        <w:rPr>
          <w:rFonts w:ascii="Arial" w:cs="Arial" w:eastAsia="Arial" w:hAnsi="Arial"/>
          <w:color w:val="2C3E50"/>
          <w:sz w:val="18"/>
          <w:szCs w:val="18"/>
        </w:rPr>
        <w:t xml:space="preserve"> is an open-source, locally-running AI agent framework (TypeScript, Node ≥22, MIT license) that has become the fastest-starred project in GitHub history (~273k stars). It runs as a persistent personal assistant connected to messaging platforms (WhatsApp, Telegram, Slack, Discord, iMessage, etc.) and can autonomously execute shell commands, manage files, browse the web, send emails, and take actions across integrated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AED6F1" w:sz="1"/>
              <w:left w:val="single" w:color="AED6F1" w:sz="1"/>
              <w:bottom w:val="single" w:color="AED6F1" w:sz="1"/>
              <w:right w:val="single" w:color="AED6F1" w:sz="1"/>
            </w:tcBorders>
            <w:shd w:fill="EBF5FB" w:val="clear"/>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Runtime</w:t>
            </w:r>
          </w:p>
        </w:tc>
        <w:tc>
          <w:tcPr>
            <w:tcW w:type="dxa" w:w="74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Node.js daemon installed via npm, runs as launchd (macOS) / systemd (Linux) user service</w:t>
            </w:r>
          </w:p>
        </w:tc>
      </w:tr>
      <w:tr>
        <w:tc>
          <w:tcPr>
            <w:tcW w:type="dxa" w:w="2600"/>
            <w:tcBorders>
              <w:top w:val="single" w:color="AED6F1" w:sz="1"/>
              <w:left w:val="single" w:color="AED6F1" w:sz="1"/>
              <w:bottom w:val="single" w:color="AED6F1" w:sz="1"/>
              <w:right w:val="single" w:color="AED6F1" w:sz="1"/>
            </w:tcBorders>
            <w:shd w:fill="EBF5FB" w:val="clear"/>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Config location</w:t>
            </w:r>
          </w:p>
        </w:tc>
        <w:tc>
          <w:tcPr>
            <w:tcW w:type="dxa" w:w="74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~/.openclaw/openclaw.json — workspace path, tool policies, channel config</w:t>
            </w:r>
          </w:p>
        </w:tc>
      </w:tr>
      <w:tr>
        <w:tc>
          <w:tcPr>
            <w:tcW w:type="dxa" w:w="2600"/>
            <w:tcBorders>
              <w:top w:val="single" w:color="AED6F1" w:sz="1"/>
              <w:left w:val="single" w:color="AED6F1" w:sz="1"/>
              <w:bottom w:val="single" w:color="AED6F1" w:sz="1"/>
              <w:right w:val="single" w:color="AED6F1" w:sz="1"/>
            </w:tcBorders>
            <w:shd w:fill="EBF5FB" w:val="clear"/>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Skills (plugins)</w:t>
            </w:r>
          </w:p>
        </w:tc>
        <w:tc>
          <w:tcPr>
            <w:tcW w:type="dxa" w:w="74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A folder with a SKILL.md + supporting files. Installed into &lt;workspace&gt;/skills/ via clawhub CLI, manual copy, or auto-installed by the agent from chat.</w:t>
            </w:r>
          </w:p>
        </w:tc>
      </w:tr>
      <w:tr>
        <w:tc>
          <w:tcPr>
            <w:tcW w:type="dxa" w:w="2600"/>
            <w:tcBorders>
              <w:top w:val="single" w:color="AED6F1" w:sz="1"/>
              <w:left w:val="single" w:color="AED6F1" w:sz="1"/>
              <w:bottom w:val="single" w:color="AED6F1" w:sz="1"/>
              <w:right w:val="single" w:color="AED6F1" w:sz="1"/>
            </w:tcBorders>
            <w:shd w:fill="EBF5FB" w:val="clear"/>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ClawHub registry</w:t>
            </w:r>
          </w:p>
        </w:tc>
        <w:tc>
          <w:tcPr>
            <w:tcW w:type="dxa" w:w="74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Public npm-like registry: ~13,700 community skills. Audit found 820+ malicious (~8%). VirusTotal partnership scans published skills, but project calls this “one signal, not a control boundary.”</w:t>
            </w:r>
          </w:p>
        </w:tc>
      </w:tr>
      <w:tr>
        <w:tc>
          <w:tcPr>
            <w:tcW w:type="dxa" w:w="2600"/>
            <w:tcBorders>
              <w:top w:val="single" w:color="AED6F1" w:sz="1"/>
              <w:left w:val="single" w:color="AED6F1" w:sz="1"/>
              <w:bottom w:val="single" w:color="AED6F1" w:sz="1"/>
              <w:right w:val="single" w:color="AED6F1" w:sz="1"/>
            </w:tcBorders>
            <w:shd w:fill="EBF5FB" w:val="clear"/>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Skill installation</w:t>
            </w:r>
          </w:p>
        </w:tc>
        <w:tc>
          <w:tcPr>
            <w:tcW w:type="dxa" w:w="74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clawhub install &lt;slug&gt;, or user pastes a GitHub link in chat and agent auto-installs. Lock file at .clawhub/lock.json. Skills loaded on next session start.</w:t>
            </w:r>
          </w:p>
        </w:tc>
      </w:tr>
      <w:tr>
        <w:tc>
          <w:tcPr>
            <w:tcW w:type="dxa" w:w="2600"/>
            <w:tcBorders>
              <w:top w:val="single" w:color="AED6F1" w:sz="1"/>
              <w:left w:val="single" w:color="AED6F1" w:sz="1"/>
              <w:bottom w:val="single" w:color="AED6F1" w:sz="1"/>
              <w:right w:val="single" w:color="AED6F1" w:sz="1"/>
            </w:tcBorders>
            <w:shd w:fill="EBF5FB" w:val="clear"/>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Security model</w:t>
            </w:r>
          </w:p>
        </w:tc>
        <w:tc>
          <w:tcPr>
            <w:tcW w:type="dxa" w:w="74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“Personal assistant”: one trusted operator per gateway. No per-user auth. Skills run with full agent permissions. Gateway trusts localhost by default.</w:t>
            </w:r>
          </w:p>
        </w:tc>
      </w:tr>
      <w:tr>
        <w:tc>
          <w:tcPr>
            <w:tcW w:type="dxa" w:w="2600"/>
            <w:tcBorders>
              <w:top w:val="single" w:color="AED6F1" w:sz="1"/>
              <w:left w:val="single" w:color="AED6F1" w:sz="1"/>
              <w:bottom w:val="single" w:color="AED6F1" w:sz="1"/>
              <w:right w:val="single" w:color="AED6F1" w:sz="1"/>
            </w:tcBorders>
            <w:shd w:fill="EBF5FB" w:val="clear"/>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Memory / identity</w:t>
            </w:r>
          </w:p>
        </w:tc>
        <w:tc>
          <w:tcPr>
            <w:tcW w:type="dxa" w:w="74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Persistent MEMORY.md, SOUL.md, USER.md. Malicious skills have injected instructions into these for persistent compromise across sessions.</w:t>
            </w:r>
          </w:p>
        </w:tc>
      </w:tr>
      <w:tr>
        <w:tc>
          <w:tcPr>
            <w:tcW w:type="dxa" w:w="2600"/>
            <w:tcBorders>
              <w:top w:val="single" w:color="AED6F1" w:sz="1"/>
              <w:left w:val="single" w:color="AED6F1" w:sz="1"/>
              <w:bottom w:val="single" w:color="AED6F1" w:sz="1"/>
              <w:right w:val="single" w:color="AED6F1" w:sz="1"/>
            </w:tcBorders>
            <w:shd w:fill="EBF5FB" w:val="clear"/>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Built-in sandboxing</w:t>
            </w:r>
          </w:p>
        </w:tc>
        <w:tc>
          <w:tcPr>
            <w:tcW w:type="dxa" w:w="74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Optional Docker-based sandbox with configurable modes. OpenClaw docs explicitly state it is “not a perfect security boundary.” Snyk has documented sandbox policy/implementation gaps.</w:t>
            </w:r>
          </w:p>
        </w:tc>
      </w:tr>
    </w:tbl>
    <w:p>
      <w:pPr>
        <w:shd w:fill="1A5276" w:val="clear"/>
        <w:spacing w:after="100" w:before="220"/>
        <w:ind w:left="80" w:right="80"/>
      </w:pPr>
      <w:r>
        <w:rPr>
          <w:rFonts w:ascii="Arial" w:cs="Arial" w:eastAsia="Arial" w:hAnsi="Arial"/>
          <w:b/>
          <w:bCs/>
          <w:color w:val="FFFFFF"/>
          <w:sz w:val="21"/>
          <w:szCs w:val="21"/>
        </w:rPr>
        <w:t xml:space="preserve">THE PROBLEM</w:t>
      </w:r>
    </w:p>
    <w:p>
      <w:pPr>
        <w:spacing w:after="50" w:before="0"/>
        <w:jc w:val="left"/>
      </w:pPr>
      <w:r>
        <w:rPr>
          <w:rFonts w:ascii="Arial" w:cs="Arial" w:eastAsia="Arial" w:hAnsi="Arial"/>
          <w:color w:val="2C3E50"/>
          <w:sz w:val="18"/>
          <w:szCs w:val="18"/>
        </w:rPr>
        <w:t xml:space="preserve">OpenClaw’s skill ecosystem has a severe supply-chain security problem that existing tools do not adequately solve:</w:t>
      </w:r>
    </w:p>
    <w:p>
      <w:pPr>
        <w:pStyle w:val="ListParagraph"/>
        <w:numPr>
          <w:ilvl w:val="0"/>
          <w:numId w:val="2"/>
        </w:numPr>
        <w:spacing w:after="35"/>
      </w:pPr>
      <w:r>
        <w:rPr>
          <w:rFonts w:ascii="Arial" w:cs="Arial" w:eastAsia="Arial" w:hAnsi="Arial"/>
          <w:b/>
          <w:bCs/>
          <w:color w:val="2C3E50"/>
          <w:sz w:val="18"/>
          <w:szCs w:val="18"/>
        </w:rPr>
        <w:t xml:space="preserve">8% of ClawHub skills are confirmed malicious </w:t>
      </w:r>
      <w:r>
        <w:rPr>
          <w:rFonts w:ascii="Arial" w:cs="Arial" w:eastAsia="Arial" w:hAnsi="Arial"/>
          <w:color w:val="2C3E50"/>
          <w:sz w:val="18"/>
          <w:szCs w:val="18"/>
        </w:rPr>
        <w:t xml:space="preserve">(820+ of 13,700). The ClawHavoc campaign deployed Atomic Stealer via 335+ coordinated fake skills.</w:t>
      </w:r>
    </w:p>
    <w:p>
      <w:pPr>
        <w:pStyle w:val="ListParagraph"/>
        <w:numPr>
          <w:ilvl w:val="0"/>
          <w:numId w:val="2"/>
        </w:numPr>
        <w:spacing w:after="35"/>
      </w:pPr>
      <w:r>
        <w:rPr>
          <w:rFonts w:ascii="Arial" w:cs="Arial" w:eastAsia="Arial" w:hAnsi="Arial"/>
          <w:b/>
          <w:bCs/>
          <w:color w:val="2C3E50"/>
          <w:sz w:val="18"/>
          <w:szCs w:val="18"/>
        </w:rPr>
        <w:t xml:space="preserve">Installation bypasses any gate. </w:t>
      </w:r>
      <w:r>
        <w:rPr>
          <w:rFonts w:ascii="Arial" w:cs="Arial" w:eastAsia="Arial" w:hAnsi="Arial"/>
          <w:color w:val="2C3E50"/>
          <w:sz w:val="18"/>
          <w:szCs w:val="18"/>
        </w:rPr>
        <w:t xml:space="preserve">Users install via CLI, but the agent can also auto-install from a pasted chat link — no approval, no analysis, no sandbox.</w:t>
      </w:r>
    </w:p>
    <w:p>
      <w:pPr>
        <w:pStyle w:val="ListParagraph"/>
        <w:numPr>
          <w:ilvl w:val="0"/>
          <w:numId w:val="2"/>
        </w:numPr>
        <w:spacing w:after="35"/>
      </w:pPr>
      <w:r>
        <w:rPr>
          <w:rFonts w:ascii="Arial" w:cs="Arial" w:eastAsia="Arial" w:hAnsi="Arial"/>
          <w:b/>
          <w:bCs/>
          <w:color w:val="2C3E50"/>
          <w:sz w:val="18"/>
          <w:szCs w:val="18"/>
        </w:rPr>
        <w:t xml:space="preserve">Skills run with full agent permissions. </w:t>
      </w:r>
      <w:r>
        <w:rPr>
          <w:rFonts w:ascii="Arial" w:cs="Arial" w:eastAsia="Arial" w:hAnsi="Arial"/>
          <w:color w:val="2C3E50"/>
          <w:sz w:val="18"/>
          <w:szCs w:val="18"/>
        </w:rPr>
        <w:t xml:space="preserve">Observed attacks include silent data exfiltration, SSH key theft, credential harvesting, and persistent memory poisoning.</w:t>
      </w:r>
    </w:p>
    <w:p>
      <w:pPr>
        <w:shd w:fill="FEF9E7" w:val="clear"/>
        <w:spacing w:after="60" w:before="60"/>
        <w:ind w:left="80" w:right="80"/>
      </w:pPr>
      <w:r>
        <w:rPr>
          <w:rFonts w:ascii="Arial" w:cs="Arial" w:eastAsia="Arial" w:hAnsi="Arial"/>
          <w:b/>
          <w:bCs/>
          <w:color w:val="B7950B"/>
          <w:sz w:val="17"/>
          <w:szCs w:val="17"/>
        </w:rPr>
        <w:t xml:space="preserve">▶ AMENDED: </w:t>
      </w:r>
      <w:r>
        <w:rPr>
          <w:rFonts w:ascii="Arial" w:cs="Arial" w:eastAsia="Arial" w:hAnsi="Arial"/>
          <w:i/>
          <w:iCs/>
          <w:color w:val="B7950B"/>
          <w:sz w:val="17"/>
          <w:szCs w:val="17"/>
        </w:rPr>
        <w:t xml:space="preserve">The dominant attack vector is “workflow malware” — the skill bundle itself is clean, but the instructions weaponize the agent into fetching and executing external payloads, or social-engineer the user into staged installs. This bypasses all signature/hash-based scanning including VirusTotal. Static pattern matching alone is insufficient.</w:t>
      </w:r>
    </w:p>
    <w:p>
      <w:pPr>
        <w:shd w:fill="1A5276" w:val="clear"/>
        <w:spacing w:after="100" w:before="220"/>
        <w:ind w:left="80" w:right="80"/>
      </w:pPr>
      <w:r>
        <w:rPr>
          <w:rFonts w:ascii="Arial" w:cs="Arial" w:eastAsia="Arial" w:hAnsi="Arial"/>
          <w:b/>
          <w:bCs/>
          <w:color w:val="FFFFFF"/>
          <w:sz w:val="21"/>
          <w:szCs w:val="21"/>
        </w:rPr>
        <w:t xml:space="preserve">COMPETITIVE LANDSCAPE</w:t>
      </w:r>
    </w:p>
    <w:p>
      <w:pPr>
        <w:spacing w:after="60" w:before="0"/>
        <w:jc w:val="left"/>
      </w:pPr>
      <w:r>
        <w:rPr>
          <w:rFonts w:ascii="Arial" w:cs="Arial" w:eastAsia="Arial" w:hAnsi="Arial"/>
          <w:color w:val="2C3E50"/>
          <w:sz w:val="18"/>
          <w:szCs w:val="18"/>
        </w:rPr>
        <w:t xml:space="preserve">The current protection ecosystem clusters into four layers. No existing tool combines continuous local interception with behavioral evidence capture.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700"/>
        <w:gridCol w:w="2780"/>
      </w:tblGrid>
      <w:tr>
        <w:tc>
          <w:tcPr>
            <w:tcW w:type="dxa" w:w="1900"/>
            <w:tcBorders>
              <w:top w:val="single" w:color="AED6F1" w:sz="1"/>
              <w:left w:val="single" w:color="AED6F1" w:sz="1"/>
              <w:bottom w:val="single" w:color="AED6F1" w:sz="1"/>
              <w:right w:val="single" w:color="AED6F1" w:sz="1"/>
            </w:tcBorders>
            <w:shd w:fill="1A5276" w:val="clear"/>
            <w:tcMar>
              <w:top w:type="dxa" w:w="50"/>
              <w:left w:type="dxa" w:w="100"/>
              <w:bottom w:type="dxa" w:w="50"/>
              <w:right w:type="dxa" w:w="100"/>
            </w:tcMar>
          </w:tcPr>
          <w:p>
            <w:pPr>
              <w:spacing w:after="15" w:before="15"/>
              <w:jc w:val="left"/>
            </w:pPr>
            <w:r>
              <w:rPr>
                <w:rFonts w:ascii="Arial" w:cs="Arial" w:eastAsia="Arial" w:hAnsi="Arial"/>
                <w:b/>
                <w:bCs/>
                <w:color w:val="FFFFFF"/>
                <w:sz w:val="16"/>
                <w:szCs w:val="16"/>
              </w:rPr>
              <w:t xml:space="preserve">Solution</w:t>
            </w:r>
          </w:p>
        </w:tc>
        <w:tc>
          <w:tcPr>
            <w:tcW w:type="dxa" w:w="2700"/>
            <w:tcBorders>
              <w:top w:val="single" w:color="AED6F1" w:sz="1"/>
              <w:left w:val="single" w:color="AED6F1" w:sz="1"/>
              <w:bottom w:val="single" w:color="AED6F1" w:sz="1"/>
              <w:right w:val="single" w:color="AED6F1" w:sz="1"/>
            </w:tcBorders>
            <w:shd w:fill="1A5276" w:val="clear"/>
            <w:tcMar>
              <w:top w:type="dxa" w:w="50"/>
              <w:left w:type="dxa" w:w="100"/>
              <w:bottom w:type="dxa" w:w="50"/>
              <w:right w:type="dxa" w:w="100"/>
            </w:tcMar>
          </w:tcPr>
          <w:p>
            <w:pPr>
              <w:spacing w:after="15" w:before="15"/>
              <w:jc w:val="left"/>
            </w:pPr>
            <w:r>
              <w:rPr>
                <w:rFonts w:ascii="Arial" w:cs="Arial" w:eastAsia="Arial" w:hAnsi="Arial"/>
                <w:b/>
                <w:bCs/>
                <w:color w:val="FFFFFF"/>
                <w:sz w:val="16"/>
                <w:szCs w:val="16"/>
              </w:rPr>
              <w:t xml:space="preserve">What it does</w:t>
            </w:r>
          </w:p>
        </w:tc>
        <w:tc>
          <w:tcPr>
            <w:tcW w:type="dxa" w:w="2700"/>
            <w:tcBorders>
              <w:top w:val="single" w:color="AED6F1" w:sz="1"/>
              <w:left w:val="single" w:color="AED6F1" w:sz="1"/>
              <w:bottom w:val="single" w:color="AED6F1" w:sz="1"/>
              <w:right w:val="single" w:color="AED6F1" w:sz="1"/>
            </w:tcBorders>
            <w:shd w:fill="1A5276" w:val="clear"/>
            <w:tcMar>
              <w:top w:type="dxa" w:w="50"/>
              <w:left w:type="dxa" w:w="100"/>
              <w:bottom w:type="dxa" w:w="50"/>
              <w:right w:type="dxa" w:w="100"/>
            </w:tcMar>
          </w:tcPr>
          <w:p>
            <w:pPr>
              <w:spacing w:after="15" w:before="15"/>
              <w:jc w:val="left"/>
            </w:pPr>
            <w:r>
              <w:rPr>
                <w:rFonts w:ascii="Arial" w:cs="Arial" w:eastAsia="Arial" w:hAnsi="Arial"/>
                <w:b/>
                <w:bCs/>
                <w:color w:val="FFFFFF"/>
                <w:sz w:val="16"/>
                <w:szCs w:val="16"/>
              </w:rPr>
              <w:t xml:space="preserve">Strength</w:t>
            </w:r>
          </w:p>
        </w:tc>
        <w:tc>
          <w:tcPr>
            <w:tcW w:type="dxa" w:w="2780"/>
            <w:tcBorders>
              <w:top w:val="single" w:color="AED6F1" w:sz="1"/>
              <w:left w:val="single" w:color="AED6F1" w:sz="1"/>
              <w:bottom w:val="single" w:color="AED6F1" w:sz="1"/>
              <w:right w:val="single" w:color="AED6F1" w:sz="1"/>
            </w:tcBorders>
            <w:shd w:fill="1A5276" w:val="clear"/>
            <w:tcMar>
              <w:top w:type="dxa" w:w="50"/>
              <w:left w:type="dxa" w:w="100"/>
              <w:bottom w:type="dxa" w:w="50"/>
              <w:right w:type="dxa" w:w="100"/>
            </w:tcMar>
          </w:tcPr>
          <w:p>
            <w:pPr>
              <w:spacing w:after="15" w:before="15"/>
              <w:jc w:val="left"/>
            </w:pPr>
            <w:r>
              <w:rPr>
                <w:rFonts w:ascii="Arial" w:cs="Arial" w:eastAsia="Arial" w:hAnsi="Arial"/>
                <w:b/>
                <w:bCs/>
                <w:color w:val="FFFFFF"/>
                <w:sz w:val="16"/>
                <w:szCs w:val="16"/>
              </w:rPr>
              <w:t xml:space="preserve">Gap ClawGuard fills</w:t>
            </w:r>
          </w:p>
        </w:tc>
      </w:tr>
      <w:tr>
        <w:tc>
          <w:tcPr>
            <w:tcW w:type="dxa" w:w="1900"/>
            <w:tcBorders>
              <w:top w:val="single" w:color="AED6F1" w:sz="1"/>
              <w:left w:val="single" w:color="AED6F1" w:sz="1"/>
              <w:bottom w:val="single" w:color="AED6F1" w:sz="1"/>
              <w:right w:val="single" w:color="AED6F1" w:sz="1"/>
            </w:tcBorders>
            <w:shd w:fill="EBF5FB" w:val="clear"/>
            <w:tcMar>
              <w:top w:type="dxa" w:w="50"/>
              <w:left w:type="dxa" w:w="100"/>
              <w:bottom w:type="dxa" w:w="50"/>
              <w:right w:type="dxa" w:w="100"/>
            </w:tcMar>
          </w:tcPr>
          <w:p>
            <w:pPr>
              <w:spacing w:after="4" w:before="8"/>
            </w:pPr>
            <w:r>
              <w:rPr>
                <w:rFonts w:ascii="Arial" w:cs="Arial" w:eastAsia="Arial" w:hAnsi="Arial"/>
                <w:b/>
                <w:bCs/>
                <w:color w:val="2C3E50"/>
                <w:sz w:val="15"/>
                <w:szCs w:val="15"/>
              </w:rPr>
              <w:t xml:space="preserve">ClawHub + VirusTotal</w:t>
            </w:r>
          </w:p>
          <w:p>
            <w:pPr>
              <w:spacing w:after="8"/>
            </w:pPr>
            <w:r>
              <w:rPr>
                <w:rFonts w:ascii="Arial" w:cs="Arial" w:eastAsia="Arial" w:hAnsi="Arial"/>
                <w:i/>
                <w:iCs/>
                <w:color w:val="888888"/>
                <w:sz w:val="13"/>
                <w:szCs w:val="13"/>
              </w:rPr>
              <w:t xml:space="preserve">Marketplace layer</w:t>
            </w:r>
          </w:p>
        </w:tc>
        <w:tc>
          <w:tcPr>
            <w:tcW w:type="dxa" w:w="27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Server-side hash scanning, Code Insight analysis, moderation, daily rescans</w:t>
            </w:r>
          </w:p>
        </w:tc>
        <w:tc>
          <w:tcPr>
            <w:tcW w:type="dxa" w:w="27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Ecosystem-scale; default path for all ClawHub installs; fast takedown</w:t>
            </w:r>
          </w:p>
        </w:tc>
        <w:tc>
          <w:tcPr>
            <w:tcW w:type="dxa" w:w="27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Cannot detect workflow malware (clean bundle, malicious instructions). Doesn’t cover manual/chat installs. Documented FPs.</w:t>
            </w:r>
          </w:p>
        </w:tc>
      </w:tr>
      <w:tr>
        <w:tc>
          <w:tcPr>
            <w:tcW w:type="dxa" w:w="1900"/>
            <w:tcBorders>
              <w:top w:val="single" w:color="AED6F1" w:sz="1"/>
              <w:left w:val="single" w:color="AED6F1" w:sz="1"/>
              <w:bottom w:val="single" w:color="AED6F1" w:sz="1"/>
              <w:right w:val="single" w:color="AED6F1" w:sz="1"/>
            </w:tcBorders>
            <w:shd w:fill="EBF5FB" w:val="clear"/>
            <w:tcMar>
              <w:top w:type="dxa" w:w="50"/>
              <w:left w:type="dxa" w:w="100"/>
              <w:bottom w:type="dxa" w:w="50"/>
              <w:right w:type="dxa" w:w="100"/>
            </w:tcMar>
          </w:tcPr>
          <w:p>
            <w:pPr>
              <w:spacing w:after="4" w:before="8"/>
            </w:pPr>
            <w:r>
              <w:rPr>
                <w:rFonts w:ascii="Arial" w:cs="Arial" w:eastAsia="Arial" w:hAnsi="Arial"/>
                <w:b/>
                <w:bCs/>
                <w:color w:val="2C3E50"/>
                <w:sz w:val="15"/>
                <w:szCs w:val="15"/>
              </w:rPr>
              <w:t xml:space="preserve">OpenClaw sandboxing</w:t>
            </w:r>
          </w:p>
          <w:p>
            <w:pPr>
              <w:spacing w:after="8"/>
            </w:pPr>
            <w:r>
              <w:rPr>
                <w:rFonts w:ascii="Arial" w:cs="Arial" w:eastAsia="Arial" w:hAnsi="Arial"/>
                <w:i/>
                <w:iCs/>
                <w:color w:val="888888"/>
                <w:sz w:val="13"/>
                <w:szCs w:val="13"/>
              </w:rPr>
              <w:t xml:space="preserve">Runtime layer</w:t>
            </w:r>
          </w:p>
        </w:tc>
        <w:tc>
          <w:tcPr>
            <w:tcW w:type="dxa" w:w="27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Docker sandbox, configurable tool policies, exec approval prompts</w:t>
            </w:r>
          </w:p>
        </w:tc>
        <w:tc>
          <w:tcPr>
            <w:tcW w:type="dxa" w:w="27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First-party, integrated, broadly applicable</w:t>
            </w:r>
          </w:p>
        </w:tc>
        <w:tc>
          <w:tcPr>
            <w:tcW w:type="dxa" w:w="27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Optional (off by default). “Not a perfect boundary.” Snyk bypass research. Does not evaluate skills pre-install.</w:t>
            </w:r>
          </w:p>
        </w:tc>
      </w:tr>
      <w:tr>
        <w:tc>
          <w:tcPr>
            <w:tcW w:type="dxa" w:w="1900"/>
            <w:tcBorders>
              <w:top w:val="single" w:color="AED6F1" w:sz="1"/>
              <w:left w:val="single" w:color="AED6F1" w:sz="1"/>
              <w:bottom w:val="single" w:color="AED6F1" w:sz="1"/>
              <w:right w:val="single" w:color="AED6F1" w:sz="1"/>
            </w:tcBorders>
            <w:shd w:fill="EBF5FB" w:val="clear"/>
            <w:tcMar>
              <w:top w:type="dxa" w:w="50"/>
              <w:left w:type="dxa" w:w="100"/>
              <w:bottom w:type="dxa" w:w="50"/>
              <w:right w:type="dxa" w:w="100"/>
            </w:tcMar>
          </w:tcPr>
          <w:p>
            <w:pPr>
              <w:spacing w:after="4" w:before="8"/>
            </w:pPr>
            <w:r>
              <w:rPr>
                <w:rFonts w:ascii="Arial" w:cs="Arial" w:eastAsia="Arial" w:hAnsi="Arial"/>
                <w:b/>
                <w:bCs/>
                <w:color w:val="2C3E50"/>
                <w:sz w:val="15"/>
                <w:szCs w:val="15"/>
              </w:rPr>
              <w:t xml:space="preserve">SecureClaw</w:t>
            </w:r>
          </w:p>
          <w:p>
            <w:pPr>
              <w:spacing w:after="8"/>
            </w:pPr>
            <w:r>
              <w:rPr>
                <w:rFonts w:ascii="Arial" w:cs="Arial" w:eastAsia="Arial" w:hAnsi="Arial"/>
                <w:i/>
                <w:iCs/>
                <w:color w:val="888888"/>
                <w:sz w:val="13"/>
                <w:szCs w:val="13"/>
              </w:rPr>
              <w:t xml:space="preserve">Adversa AI — MIT</w:t>
            </w:r>
          </w:p>
        </w:tc>
        <w:tc>
          <w:tcPr>
            <w:tcW w:type="dxa" w:w="27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55 audit/hardening checks, config scanning, skill pattern detection, OWASP mapping</w:t>
            </w:r>
          </w:p>
        </w:tc>
        <w:tc>
          <w:tcPr>
            <w:tcW w:type="dxa" w:w="27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Practical “secure my deployment” workflow</w:t>
            </w:r>
          </w:p>
        </w:tc>
        <w:tc>
          <w:tcPr>
            <w:tcW w:type="dxa" w:w="27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Auditing/hardening, not behavioral. No sandbox detonation. Misses staged payloads.</w:t>
            </w:r>
          </w:p>
        </w:tc>
      </w:tr>
      <w:tr>
        <w:tc>
          <w:tcPr>
            <w:tcW w:type="dxa" w:w="1900"/>
            <w:tcBorders>
              <w:top w:val="single" w:color="AED6F1" w:sz="1"/>
              <w:left w:val="single" w:color="AED6F1" w:sz="1"/>
              <w:bottom w:val="single" w:color="AED6F1" w:sz="1"/>
              <w:right w:val="single" w:color="AED6F1" w:sz="1"/>
            </w:tcBorders>
            <w:shd w:fill="EBF5FB" w:val="clear"/>
            <w:tcMar>
              <w:top w:type="dxa" w:w="50"/>
              <w:left w:type="dxa" w:w="100"/>
              <w:bottom w:type="dxa" w:w="50"/>
              <w:right w:type="dxa" w:w="100"/>
            </w:tcMar>
          </w:tcPr>
          <w:p>
            <w:pPr>
              <w:spacing w:after="4" w:before="8"/>
            </w:pPr>
            <w:r>
              <w:rPr>
                <w:rFonts w:ascii="Arial" w:cs="Arial" w:eastAsia="Arial" w:hAnsi="Arial"/>
                <w:b/>
                <w:bCs/>
                <w:color w:val="2C3E50"/>
                <w:sz w:val="15"/>
                <w:szCs w:val="15"/>
              </w:rPr>
              <w:t xml:space="preserve">ClawSkillShield</w:t>
            </w:r>
          </w:p>
          <w:p>
            <w:pPr>
              <w:spacing w:after="8"/>
            </w:pPr>
            <w:r>
              <w:rPr>
                <w:rFonts w:ascii="Arial" w:cs="Arial" w:eastAsia="Arial" w:hAnsi="Arial"/>
                <w:i/>
                <w:iCs/>
                <w:color w:val="888888"/>
                <w:sz w:val="13"/>
                <w:szCs w:val="13"/>
              </w:rPr>
              <w:t xml:space="preserve">Community — MIT</w:t>
            </w:r>
          </w:p>
        </w:tc>
        <w:tc>
          <w:tcPr>
            <w:tcW w:type="dxa" w:w="27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Python static scanner: risky imports, secrets, obfuscation, risk scoring, quarantine</w:t>
            </w:r>
          </w:p>
        </w:tc>
        <w:tc>
          <w:tcPr>
            <w:tcW w:type="dxa" w:w="27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Low friction, offline, pre-install</w:t>
            </w:r>
          </w:p>
        </w:tc>
        <w:tc>
          <w:tcPr>
            <w:tcW w:type="dxa" w:w="27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Static heuristics only. Manual invocation (not always-on). No behavioral observation.</w:t>
            </w:r>
          </w:p>
        </w:tc>
      </w:tr>
      <w:tr>
        <w:tc>
          <w:tcPr>
            <w:tcW w:type="dxa" w:w="1900"/>
            <w:tcBorders>
              <w:top w:val="single" w:color="AED6F1" w:sz="1"/>
              <w:left w:val="single" w:color="AED6F1" w:sz="1"/>
              <w:bottom w:val="single" w:color="AED6F1" w:sz="1"/>
              <w:right w:val="single" w:color="AED6F1" w:sz="1"/>
            </w:tcBorders>
            <w:shd w:fill="EBF5FB" w:val="clear"/>
            <w:tcMar>
              <w:top w:type="dxa" w:w="50"/>
              <w:left w:type="dxa" w:w="100"/>
              <w:bottom w:type="dxa" w:w="50"/>
              <w:right w:type="dxa" w:w="100"/>
            </w:tcMar>
          </w:tcPr>
          <w:p>
            <w:pPr>
              <w:spacing w:after="4" w:before="8"/>
            </w:pPr>
            <w:r>
              <w:rPr>
                <w:rFonts w:ascii="Arial" w:cs="Arial" w:eastAsia="Arial" w:hAnsi="Arial"/>
                <w:b/>
                <w:bCs/>
                <w:color w:val="2C3E50"/>
                <w:sz w:val="15"/>
                <w:szCs w:val="15"/>
              </w:rPr>
              <w:t xml:space="preserve">crabukit + Clawdex</w:t>
            </w:r>
          </w:p>
          <w:p>
            <w:pPr>
              <w:spacing w:after="8"/>
            </w:pPr>
            <w:r>
              <w:rPr>
                <w:rFonts w:ascii="Arial" w:cs="Arial" w:eastAsia="Arial" w:hAnsi="Arial"/>
                <w:i/>
                <w:iCs/>
                <w:color w:val="888888"/>
                <w:sz w:val="13"/>
                <w:szCs w:val="13"/>
              </w:rPr>
              <w:t xml:space="preserve">Koi Security — MIT</w:t>
            </w:r>
          </w:p>
        </w:tc>
        <w:tc>
          <w:tcPr>
            <w:tcW w:type="dxa" w:w="27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Static analysis + known-bad DB (Clawdex API: benign/malicious/unknown)</w:t>
            </w:r>
          </w:p>
        </w:tc>
        <w:tc>
          <w:tcPr>
            <w:tcW w:type="dxa" w:w="27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Known-bad inventory + heuristics</w:t>
            </w:r>
          </w:p>
        </w:tc>
        <w:tc>
          <w:tcPr>
            <w:tcW w:type="dxa" w:w="27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No detonation. Limited against novel threats and workflow malware not yet in DB.</w:t>
            </w:r>
          </w:p>
        </w:tc>
      </w:tr>
      <w:tr>
        <w:tc>
          <w:tcPr>
            <w:tcW w:type="dxa" w:w="1900"/>
            <w:tcBorders>
              <w:top w:val="single" w:color="AED6F1" w:sz="1"/>
              <w:left w:val="single" w:color="AED6F1" w:sz="1"/>
              <w:bottom w:val="single" w:color="AED6F1" w:sz="1"/>
              <w:right w:val="single" w:color="AED6F1" w:sz="1"/>
            </w:tcBorders>
            <w:shd w:fill="EBF5FB" w:val="clear"/>
            <w:tcMar>
              <w:top w:type="dxa" w:w="50"/>
              <w:left w:type="dxa" w:w="100"/>
              <w:bottom w:type="dxa" w:w="50"/>
              <w:right w:type="dxa" w:w="100"/>
            </w:tcMar>
          </w:tcPr>
          <w:p>
            <w:pPr>
              <w:spacing w:after="4" w:before="8"/>
            </w:pPr>
            <w:r>
              <w:rPr>
                <w:rFonts w:ascii="Arial" w:cs="Arial" w:eastAsia="Arial" w:hAnsi="Arial"/>
                <w:b/>
                <w:bCs/>
                <w:color w:val="2C3E50"/>
                <w:sz w:val="15"/>
                <w:szCs w:val="15"/>
              </w:rPr>
              <w:t xml:space="preserve">APort Guardrails</w:t>
            </w:r>
          </w:p>
          <w:p>
            <w:pPr>
              <w:spacing w:after="8"/>
            </w:pPr>
            <w:r>
              <w:rPr>
                <w:rFonts w:ascii="Arial" w:cs="Arial" w:eastAsia="Arial" w:hAnsi="Arial"/>
                <w:i/>
                <w:iCs/>
                <w:color w:val="888888"/>
                <w:sz w:val="13"/>
                <w:szCs w:val="13"/>
              </w:rPr>
              <w:t xml:space="preserve">Apache 2.0 + cloud</w:t>
            </w:r>
          </w:p>
        </w:tc>
        <w:tc>
          <w:tcPr>
            <w:tcW w:type="dxa" w:w="27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Deterministic pre-action auth via before_tool_call hook. Model cannot skip enforcement.</w:t>
            </w:r>
          </w:p>
        </w:tc>
        <w:tc>
          <w:tcPr>
            <w:tcW w:type="dxa" w:w="27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Strongest runtime guarantee against prompt-injection bypass</w:t>
            </w:r>
          </w:p>
        </w:tc>
        <w:tc>
          <w:tcPr>
            <w:tcW w:type="dxa" w:w="27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Does not evaluate skill artefacts at install time. Cannot stop social engineering outside tool hooks. Complementary.</w:t>
            </w:r>
          </w:p>
        </w:tc>
      </w:tr>
      <w:tr>
        <w:tc>
          <w:tcPr>
            <w:tcW w:type="dxa" w:w="1900"/>
            <w:tcBorders>
              <w:top w:val="single" w:color="AED6F1" w:sz="1"/>
              <w:left w:val="single" w:color="AED6F1" w:sz="1"/>
              <w:bottom w:val="single" w:color="AED6F1" w:sz="1"/>
              <w:right w:val="single" w:color="AED6F1" w:sz="1"/>
            </w:tcBorders>
            <w:shd w:fill="FEF9E7" w:val="clear"/>
            <w:tcMar>
              <w:top w:type="dxa" w:w="50"/>
              <w:left w:type="dxa" w:w="100"/>
              <w:bottom w:type="dxa" w:w="50"/>
              <w:right w:type="dxa" w:w="100"/>
            </w:tcMar>
          </w:tcPr>
          <w:p>
            <w:pPr>
              <w:spacing w:after="4" w:before="8"/>
            </w:pPr>
            <w:r>
              <w:rPr>
                <w:rFonts w:ascii="Arial" w:cs="Arial" w:eastAsia="Arial" w:hAnsi="Arial"/>
                <w:b/>
                <w:bCs/>
                <w:color w:val="1A5276"/>
                <w:sz w:val="15"/>
                <w:szCs w:val="15"/>
              </w:rPr>
              <w:t xml:space="preserve">ClawGuard</w:t>
            </w:r>
          </w:p>
          <w:p>
            <w:pPr>
              <w:spacing w:after="8"/>
            </w:pPr>
            <w:r>
              <w:rPr>
                <w:rFonts w:ascii="Arial" w:cs="Arial" w:eastAsia="Arial" w:hAnsi="Arial"/>
                <w:b/>
                <w:bCs/>
                <w:i/>
                <w:iCs/>
                <w:color w:val="1A5276"/>
                <w:sz w:val="13"/>
                <w:szCs w:val="13"/>
              </w:rPr>
              <w:t xml:space="preserve">Ours — MIT</w:t>
            </w:r>
          </w:p>
        </w:tc>
        <w:tc>
          <w:tcPr>
            <w:tcW w:type="dxa" w:w="2700"/>
            <w:tcBorders>
              <w:top w:val="single" w:color="AED6F1" w:sz="1"/>
              <w:left w:val="single" w:color="AED6F1" w:sz="1"/>
              <w:bottom w:val="single" w:color="AED6F1" w:sz="1"/>
              <w:right w:val="single" w:color="AED6F1" w:sz="1"/>
            </w:tcBorders>
            <w:shd w:fill="FEF9E7" w:val="clear"/>
            <w:tcMar>
              <w:top w:type="dxa" w:w="50"/>
              <w:left w:type="dxa" w:w="100"/>
              <w:bottom w:type="dxa" w:w="50"/>
              <w:right w:type="dxa" w:w="100"/>
            </w:tcMar>
          </w:tcPr>
          <w:p>
            <w:pPr>
              <w:spacing w:after="8" w:before="8"/>
            </w:pPr>
            <w:r>
              <w:rPr>
                <w:rFonts w:ascii="Arial" w:cs="Arial" w:eastAsia="Arial" w:hAnsi="Arial"/>
                <w:b/>
                <w:bCs/>
                <w:color w:val="2C3E50"/>
                <w:sz w:val="16"/>
                <w:szCs w:val="16"/>
              </w:rPr>
              <w:t xml:space="preserve">Always-on filesystem intercept, static scoring + hash lookup, sandbox detonation with honeypots + net capture + memory diffs, quarantine</w:t>
            </w:r>
          </w:p>
        </w:tc>
        <w:tc>
          <w:tcPr>
            <w:tcW w:type="dxa" w:w="2700"/>
            <w:tcBorders>
              <w:top w:val="single" w:color="AED6F1" w:sz="1"/>
              <w:left w:val="single" w:color="AED6F1" w:sz="1"/>
              <w:bottom w:val="single" w:color="AED6F1" w:sz="1"/>
              <w:right w:val="single" w:color="AED6F1" w:sz="1"/>
            </w:tcBorders>
            <w:shd w:fill="FEF9E7" w:val="clear"/>
            <w:tcMar>
              <w:top w:type="dxa" w:w="50"/>
              <w:left w:type="dxa" w:w="100"/>
              <w:bottom w:type="dxa" w:w="50"/>
              <w:right w:type="dxa" w:w="100"/>
            </w:tcMar>
          </w:tcPr>
          <w:p>
            <w:pPr>
              <w:spacing w:after="8" w:before="8"/>
            </w:pPr>
            <w:r>
              <w:rPr>
                <w:rFonts w:ascii="Arial" w:cs="Arial" w:eastAsia="Arial" w:hAnsi="Arial"/>
                <w:b/>
                <w:bCs/>
                <w:color w:val="2C3E50"/>
                <w:sz w:val="16"/>
                <w:szCs w:val="16"/>
              </w:rPr>
              <w:t xml:space="preserve">Only tool combining continuous local interception with behavioral evidence. Catches workflow malware via detonation. Works across all install paths.</w:t>
            </w:r>
          </w:p>
        </w:tc>
        <w:tc>
          <w:tcPr>
            <w:tcW w:type="dxa" w:w="2780"/>
            <w:tcBorders>
              <w:top w:val="single" w:color="AED6F1" w:sz="1"/>
              <w:left w:val="single" w:color="AED6F1" w:sz="1"/>
              <w:bottom w:val="single" w:color="AED6F1" w:sz="1"/>
              <w:right w:val="single" w:color="AED6F1" w:sz="1"/>
            </w:tcBorders>
            <w:shd w:fill="FEF9E7" w:val="clear"/>
            <w:tcMar>
              <w:top w:type="dxa" w:w="50"/>
              <w:left w:type="dxa" w:w="100"/>
              <w:bottom w:type="dxa" w:w="50"/>
              <w:right w:type="dxa" w:w="100"/>
            </w:tcMar>
          </w:tcPr>
          <w:p>
            <w:pPr>
              <w:spacing w:after="8" w:before="8"/>
            </w:pPr>
            <w:r>
              <w:rPr>
                <w:rFonts w:ascii="Arial" w:cs="Arial" w:eastAsia="Arial" w:hAnsi="Arial"/>
                <w:color w:val="2C3E50"/>
                <w:sz w:val="16"/>
                <w:szCs w:val="16"/>
              </w:rPr>
              <w:t xml:space="preserve">Pre-launch. Sandbox detection risk. Does not replace runtime tool-call mediation (scope boundary with APort).</w:t>
            </w:r>
          </w:p>
        </w:tc>
      </w:tr>
    </w:tbl>
    <w:p>
      <w:pPr>
        <w:spacing w:after="30" w:before="0"/>
        <w:jc w:val="left"/>
      </w:pPr>
      <w:r>
        <w:rPr>
          <w:rFonts w:ascii="Arial" w:cs="Arial" w:eastAsia="Arial" w:hAnsi="Arial"/>
          <w:color w:val="2C3E50"/>
          <w:sz w:val="19"/>
          <w:szCs w:val="19"/>
        </w:rPr>
        <w:t xml:space="preserve"/>
      </w:r>
    </w:p>
    <w:p>
      <w:pPr>
        <w:shd w:fill="FEF9E7" w:val="clear"/>
        <w:spacing w:after="60" w:before="60"/>
        <w:ind w:left="80" w:right="80"/>
      </w:pPr>
      <w:r>
        <w:rPr>
          <w:rFonts w:ascii="Arial" w:cs="Arial" w:eastAsia="Arial" w:hAnsi="Arial"/>
          <w:b/>
          <w:bCs/>
          <w:color w:val="B7950B"/>
          <w:sz w:val="17"/>
          <w:szCs w:val="17"/>
        </w:rPr>
        <w:t xml:space="preserve">▶ AMENDED: </w:t>
      </w:r>
      <w:r>
        <w:rPr>
          <w:rFonts w:ascii="Arial" w:cs="Arial" w:eastAsia="Arial" w:hAnsi="Arial"/>
          <w:i/>
          <w:iCs/>
          <w:color w:val="B7950B"/>
          <w:sz w:val="17"/>
          <w:szCs w:val="17"/>
        </w:rPr>
        <w:t xml:space="preserve">Scope boundary: ClawGuard answers “should this skill be present?” APort answers “should this tool call run now?” We do not rebuild runtime tool-call mediation. Position as complementary. Consider “recommended pairing” if APort reaches meaningful adoption.</w:t>
      </w:r>
    </w:p>
    <w:p>
      <w:pPr>
        <w:shd w:fill="1A5276" w:val="clear"/>
        <w:spacing w:after="100" w:before="220"/>
        <w:ind w:left="80" w:right="80"/>
      </w:pPr>
      <w:r>
        <w:rPr>
          <w:rFonts w:ascii="Arial" w:cs="Arial" w:eastAsia="Arial" w:hAnsi="Arial"/>
          <w:b/>
          <w:bCs/>
          <w:color w:val="FFFFFF"/>
          <w:sz w:val="21"/>
          <w:szCs w:val="21"/>
        </w:rPr>
        <w:t xml:space="preserve">CLAWGUARD: PRODUCT DEFINITION</w:t>
      </w:r>
    </w:p>
    <w:p>
      <w:pPr>
        <w:spacing w:after="60" w:before="0"/>
        <w:jc w:val="left"/>
      </w:pPr>
      <w:r>
        <w:rPr>
          <w:rFonts w:ascii="Arial" w:cs="Arial" w:eastAsia="Arial" w:hAnsi="Arial"/>
          <w:b/>
          <w:bCs/>
          <w:color w:val="2C3E50"/>
          <w:sz w:val="18"/>
          <w:szCs w:val="18"/>
        </w:rPr>
        <w:t xml:space="preserve">ClawGuard</w:t>
      </w:r>
      <w:r>
        <w:rPr>
          <w:rFonts w:ascii="Arial" w:cs="Arial" w:eastAsia="Arial" w:hAnsi="Arial"/>
          <w:color w:val="2C3E50"/>
          <w:sz w:val="18"/>
          <w:szCs w:val="18"/>
        </w:rPr>
        <w:t xml:space="preserve"> is a local-first skill auditor that intercepts, analyzes, and sandbox-detonates OpenClaw skills before they can affect the user’s agent or system. It runs as a lightweight daemon alongside the OpenClaw gateway.</w:t>
      </w:r>
    </w:p>
    <w:p>
      <w:pPr>
        <w:spacing w:after="30"/>
      </w:pPr>
      <w:r>
        <w:rPr>
          <w:rFonts w:ascii="Arial" w:cs="Arial" w:eastAsia="Arial" w:hAnsi="Arial"/>
          <w:b/>
          <w:bCs/>
          <w:color w:val="1A5276"/>
          <w:sz w:val="18"/>
          <w:szCs w:val="18"/>
        </w:rPr>
        <w:t xml:space="preserve">Language: </w:t>
      </w:r>
      <w:r>
        <w:rPr>
          <w:rFonts w:ascii="Arial" w:cs="Arial" w:eastAsia="Arial" w:hAnsi="Arial"/>
          <w:color w:val="2C3E50"/>
          <w:sz w:val="18"/>
          <w:szCs w:val="18"/>
        </w:rPr>
        <w:t xml:space="preserve">TypeScript (imports clawhub-schema parsers directly; same contributor ecosystem as OpenClaw)</w:t>
      </w:r>
    </w:p>
    <w:p>
      <w:pPr>
        <w:spacing w:after="30"/>
      </w:pPr>
      <w:r>
        <w:rPr>
          <w:rFonts w:ascii="Arial" w:cs="Arial" w:eastAsia="Arial" w:hAnsi="Arial"/>
          <w:b/>
          <w:bCs/>
          <w:color w:val="1A5276"/>
          <w:sz w:val="18"/>
          <w:szCs w:val="18"/>
        </w:rPr>
        <w:t xml:space="preserve">Distribution: </w:t>
      </w:r>
      <w:r>
        <w:rPr>
          <w:rFonts w:ascii="Arial" w:cs="Arial" w:eastAsia="Arial" w:hAnsi="Arial"/>
          <w:color w:val="2C3E50"/>
          <w:sz w:val="18"/>
          <w:szCs w:val="18"/>
        </w:rPr>
        <w:t xml:space="preserve">npm install -g clawguard — global CLI + daemon</w:t>
      </w:r>
    </w:p>
    <w:p>
      <w:pPr>
        <w:spacing w:after="30"/>
      </w:pPr>
      <w:r>
        <w:rPr>
          <w:rFonts w:ascii="Arial" w:cs="Arial" w:eastAsia="Arial" w:hAnsi="Arial"/>
          <w:b/>
          <w:bCs/>
          <w:color w:val="1A5276"/>
          <w:sz w:val="18"/>
          <w:szCs w:val="18"/>
        </w:rPr>
        <w:t xml:space="preserve">Runtime deps: </w:t>
      </w:r>
      <w:r>
        <w:rPr>
          <w:rFonts w:ascii="Arial" w:cs="Arial" w:eastAsia="Arial" w:hAnsi="Arial"/>
          <w:color w:val="2C3E50"/>
          <w:sz w:val="18"/>
          <w:szCs w:val="18"/>
        </w:rPr>
        <w:t xml:space="preserve">Node ≥22, Docker or Podman (optional, for sandbox detonation)</w:t>
      </w:r>
    </w:p>
    <w:p>
      <w:pPr>
        <w:spacing w:after="30"/>
      </w:pPr>
      <w:r>
        <w:rPr>
          <w:rFonts w:ascii="Arial" w:cs="Arial" w:eastAsia="Arial" w:hAnsi="Arial"/>
          <w:b/>
          <w:bCs/>
          <w:color w:val="1A5276"/>
          <w:sz w:val="18"/>
          <w:szCs w:val="18"/>
        </w:rPr>
        <w:t xml:space="preserve">License: </w:t>
      </w:r>
      <w:r>
        <w:rPr>
          <w:rFonts w:ascii="Arial" w:cs="Arial" w:eastAsia="Arial" w:hAnsi="Arial"/>
          <w:color w:val="2C3E50"/>
          <w:sz w:val="18"/>
          <w:szCs w:val="18"/>
        </w:rPr>
        <w:t xml:space="preserve">MIT (maximizes adoption and upstream integration potential)</w:t>
      </w:r>
    </w:p>
    <w:p>
      <w:pPr>
        <w:shd w:fill="1A5276" w:val="clear"/>
        <w:spacing w:after="100" w:before="220"/>
        <w:ind w:left="80" w:right="80"/>
      </w:pPr>
      <w:r>
        <w:rPr>
          <w:rFonts w:ascii="Arial" w:cs="Arial" w:eastAsia="Arial" w:hAnsi="Arial"/>
          <w:b/>
          <w:bCs/>
          <w:color w:val="FFFFFF"/>
          <w:sz w:val="21"/>
          <w:szCs w:val="21"/>
        </w:rPr>
        <w:t xml:space="preserve">KEY CAPABILITIES</w:t>
      </w:r>
    </w:p>
    <w:p>
      <w:pPr>
        <w:spacing w:after="60" w:before="140"/>
      </w:pPr>
      <w:r>
        <w:rPr>
          <w:rFonts w:ascii="Arial" w:cs="Arial" w:eastAsia="Arial" w:hAnsi="Arial"/>
          <w:b/>
          <w:bCs/>
          <w:color w:val="1A5276"/>
          <w:sz w:val="21"/>
          <w:szCs w:val="21"/>
        </w:rPr>
        <w:t xml:space="preserve">1. Filesystem Interception + Static Analysis</w:t>
      </w:r>
    </w:p>
    <w:p>
      <w:pPr>
        <w:spacing w:after="50" w:before="0"/>
        <w:jc w:val="left"/>
      </w:pPr>
      <w:r>
        <w:rPr>
          <w:rFonts w:ascii="Arial" w:cs="Arial" w:eastAsia="Arial" w:hAnsi="Arial"/>
          <w:color w:val="2C3E50"/>
          <w:sz w:val="18"/>
          <w:szCs w:val="18"/>
        </w:rPr>
        <w:t xml:space="preserve">Watches skill directories via inotify (Linux) / FSEvents (macOS). When a new skill folder appears from any source (CLI, manual copy, agent auto-install from chat), ClawGuard performs instant analysis before the next OpenClaw session loads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AED6F1" w:sz="1"/>
              <w:left w:val="single" w:color="AED6F1" w:sz="1"/>
              <w:bottom w:val="single" w:color="AED6F1" w:sz="1"/>
              <w:right w:val="single" w:color="AED6F1" w:sz="1"/>
            </w:tcBorders>
            <w:shd w:fill="D6EAF8" w:val="clear"/>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Detection category</w:t>
            </w:r>
          </w:p>
        </w:tc>
        <w:tc>
          <w:tcPr>
            <w:tcW w:type="dxa" w:w="7280"/>
            <w:tcBorders>
              <w:top w:val="single" w:color="AED6F1" w:sz="1"/>
              <w:left w:val="single" w:color="AED6F1" w:sz="1"/>
              <w:bottom w:val="single" w:color="AED6F1" w:sz="1"/>
              <w:right w:val="single" w:color="AED6F1" w:sz="1"/>
            </w:tcBorders>
            <w:shd w:fill="D6EAF8" w:val="clear"/>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What we scan for</w:t>
            </w:r>
          </w:p>
        </w:tc>
      </w:tr>
      <w:tr>
        <w:tc>
          <w:tcPr>
            <w:tcW w:type="dxa" w:w="28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Exfiltration patterns</w:t>
            </w:r>
          </w:p>
        </w:tc>
        <w:tc>
          <w:tcPr>
            <w:tcW w:type="dxa" w:w="72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curl/wget/fetch calls, outbound HTTP in scripts, non-standard domains, IP literals</w:t>
            </w:r>
          </w:p>
        </w:tc>
      </w:tr>
      <w:tr>
        <w:tc>
          <w:tcPr>
            <w:tcW w:type="dxa" w:w="28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Prompt injection</w:t>
            </w:r>
          </w:p>
        </w:tc>
        <w:tc>
          <w:tcPr>
            <w:tcW w:type="dxa" w:w="72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Instructions to override safety, disable sandbox, bypass tool policies, ignore previous prompts</w:t>
            </w:r>
          </w:p>
        </w:tc>
      </w:tr>
      <w:tr>
        <w:tc>
          <w:tcPr>
            <w:tcW w:type="dxa" w:w="28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Memory/soul tampering</w:t>
            </w:r>
          </w:p>
        </w:tc>
        <w:tc>
          <w:tcPr>
            <w:tcW w:type="dxa" w:w="72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References to MEMORY.md, SOUL.md, USER.md modification; persistent instruction injection</w:t>
            </w:r>
          </w:p>
        </w:tc>
      </w:tr>
      <w:tr>
        <w:tc>
          <w:tcPr>
            <w:tcW w:type="dxa" w:w="28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Privilege escalation</w:t>
            </w:r>
          </w:p>
        </w:tc>
        <w:tc>
          <w:tcPr>
            <w:tcW w:type="dxa" w:w="72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Requests for exec/browser/FS beyond skill directory; credential path access (~/.ssh, .env, keychain)</w:t>
            </w:r>
          </w:p>
        </w:tc>
      </w:tr>
      <w:tr>
        <w:tc>
          <w:tcPr>
            <w:tcW w:type="dxa" w:w="28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Obfuscation</w:t>
            </w:r>
          </w:p>
        </w:tc>
        <w:tc>
          <w:tcPr>
            <w:tcW w:type="dxa" w:w="72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Base64/hex payloads, nested eval, encoded shell commands</w:t>
            </w:r>
          </w:p>
        </w:tc>
      </w:tr>
      <w:tr>
        <w:tc>
          <w:tcPr>
            <w:tcW w:type="dxa" w:w="2800"/>
            <w:tcBorders>
              <w:top w:val="single" w:color="AED6F1" w:sz="1"/>
              <w:left w:val="single" w:color="AED6F1" w:sz="1"/>
              <w:bottom w:val="single" w:color="AED6F1" w:sz="1"/>
              <w:right w:val="single" w:color="AED6F1" w:sz="1"/>
            </w:tcBorders>
            <w:shd w:fill="FEF9E7" w:val="clear"/>
            <w:tcMar>
              <w:top w:type="dxa" w:w="50"/>
              <w:left w:type="dxa" w:w="100"/>
              <w:bottom w:type="dxa" w:w="50"/>
              <w:right w:type="dxa" w:w="100"/>
            </w:tcMar>
          </w:tcPr>
          <w:p>
            <w:pPr>
              <w:spacing w:after="8" w:before="8"/>
            </w:pPr>
            <w:r>
              <w:rPr>
                <w:rFonts w:ascii="Arial" w:cs="Arial" w:eastAsia="Arial" w:hAnsi="Arial"/>
                <w:b/>
                <w:bCs/>
                <w:color w:val="B7950B"/>
                <w:sz w:val="16"/>
                <w:szCs w:val="16"/>
              </w:rPr>
              <w:t xml:space="preserve">Staged download chains</w:t>
            </w:r>
            <w:r>
              <w:rPr>
                <w:rFonts w:ascii="Arial" w:cs="Arial" w:eastAsia="Arial" w:hAnsi="Arial"/>
                <w:b/>
                <w:bCs/>
                <w:color w:val="B7950B"/>
                <w:sz w:val="13"/>
                <w:szCs w:val="13"/>
              </w:rPr>
              <w:t xml:space="preserve"> NEW</w:t>
            </w:r>
          </w:p>
        </w:tc>
        <w:tc>
          <w:tcPr>
            <w:tcW w:type="dxa" w:w="7280"/>
            <w:tcBorders>
              <w:top w:val="single" w:color="AED6F1" w:sz="1"/>
              <w:left w:val="single" w:color="AED6F1" w:sz="1"/>
              <w:bottom w:val="single" w:color="AED6F1" w:sz="1"/>
              <w:right w:val="single" w:color="AED6F1" w:sz="1"/>
            </w:tcBorders>
            <w:shd w:fill="FEF9E7" w:val="clear"/>
            <w:tcMar>
              <w:top w:type="dxa" w:w="50"/>
              <w:left w:type="dxa" w:w="100"/>
              <w:bottom w:type="dxa" w:w="50"/>
              <w:right w:type="dxa" w:w="100"/>
            </w:tcMar>
          </w:tcPr>
          <w:p>
            <w:pPr>
              <w:spacing w:after="8" w:before="8"/>
            </w:pPr>
            <w:r>
              <w:rPr>
                <w:rFonts w:ascii="Arial" w:cs="Arial" w:eastAsia="Arial" w:hAnsi="Arial"/>
                <w:color w:val="2C3E50"/>
                <w:sz w:val="16"/>
                <w:szCs w:val="16"/>
              </w:rPr>
              <w:t xml:space="preserve">Instructions directing the agent to fetch external scripts/binaries, “run this setup command,” clone repos, or install packages at runtime. The dominant ClawHavoc pattern: clean bundle, weaponized workflow.</w:t>
            </w:r>
          </w:p>
        </w:tc>
      </w:tr>
      <w:tr>
        <w:tc>
          <w:tcPr>
            <w:tcW w:type="dxa" w:w="2800"/>
            <w:tcBorders>
              <w:top w:val="single" w:color="AED6F1" w:sz="1"/>
              <w:left w:val="single" w:color="AED6F1" w:sz="1"/>
              <w:bottom w:val="single" w:color="AED6F1" w:sz="1"/>
              <w:right w:val="single" w:color="AED6F1" w:sz="1"/>
            </w:tcBorders>
            <w:shd w:fill="FEF9E7" w:val="clear"/>
            <w:tcMar>
              <w:top w:type="dxa" w:w="50"/>
              <w:left w:type="dxa" w:w="100"/>
              <w:bottom w:type="dxa" w:w="50"/>
              <w:right w:type="dxa" w:w="100"/>
            </w:tcMar>
          </w:tcPr>
          <w:p>
            <w:pPr>
              <w:spacing w:after="8" w:before="8"/>
            </w:pPr>
            <w:r>
              <w:rPr>
                <w:rFonts w:ascii="Arial" w:cs="Arial" w:eastAsia="Arial" w:hAnsi="Arial"/>
                <w:b/>
                <w:bCs/>
                <w:color w:val="B7950B"/>
                <w:sz w:val="16"/>
                <w:szCs w:val="16"/>
              </w:rPr>
              <w:t xml:space="preserve">Known-bad hash check</w:t>
            </w:r>
            <w:r>
              <w:rPr>
                <w:rFonts w:ascii="Arial" w:cs="Arial" w:eastAsia="Arial" w:hAnsi="Arial"/>
                <w:b/>
                <w:bCs/>
                <w:color w:val="B7950B"/>
                <w:sz w:val="13"/>
                <w:szCs w:val="13"/>
              </w:rPr>
              <w:t xml:space="preserve"> NEW</w:t>
            </w:r>
          </w:p>
        </w:tc>
        <w:tc>
          <w:tcPr>
            <w:tcW w:type="dxa" w:w="7280"/>
            <w:tcBorders>
              <w:top w:val="single" w:color="AED6F1" w:sz="1"/>
              <w:left w:val="single" w:color="AED6F1" w:sz="1"/>
              <w:bottom w:val="single" w:color="AED6F1" w:sz="1"/>
              <w:right w:val="single" w:color="AED6F1" w:sz="1"/>
            </w:tcBorders>
            <w:shd w:fill="FEF9E7" w:val="clear"/>
            <w:tcMar>
              <w:top w:type="dxa" w:w="50"/>
              <w:left w:type="dxa" w:w="100"/>
              <w:bottom w:type="dxa" w:w="50"/>
              <w:right w:type="dxa" w:w="100"/>
            </w:tcMar>
          </w:tcPr>
          <w:p>
            <w:pPr>
              <w:spacing w:after="8" w:before="8"/>
            </w:pPr>
            <w:r>
              <w:rPr>
                <w:rFonts w:ascii="Arial" w:cs="Arial" w:eastAsia="Arial" w:hAnsi="Arial"/>
                <w:color w:val="2C3E50"/>
                <w:sz w:val="16"/>
                <w:szCs w:val="16"/>
              </w:rPr>
              <w:t xml:space="preserve">Hash skill on install, query ClawHub/VirusTotal API for known verdicts. Fast known-bad rejection. Critically: treat “0 detections” as neutral, not clean — documented FP/mismatch dynamics go both ways.</w:t>
            </w:r>
          </w:p>
        </w:tc>
      </w:tr>
    </w:tbl>
    <w:p>
      <w:pPr>
        <w:spacing w:after="30" w:before="60"/>
        <w:jc w:val="left"/>
      </w:pPr>
      <w:r>
        <w:rPr>
          <w:rFonts w:ascii="Arial" w:cs="Arial" w:eastAsia="Arial" w:hAnsi="Arial"/>
          <w:b/>
          <w:bCs/>
          <w:color w:val="2C3E50"/>
          <w:sz w:val="18"/>
          <w:szCs w:val="18"/>
        </w:rPr>
        <w:t xml:space="preserve">Output: </w:t>
      </w:r>
      <w:r>
        <w:rPr>
          <w:rFonts w:ascii="Arial" w:cs="Arial" w:eastAsia="Arial" w:hAnsi="Arial"/>
          <w:color w:val="2C3E50"/>
          <w:sz w:val="18"/>
          <w:szCs w:val="18"/>
        </w:rPr>
        <w:t xml:space="preserve">Risk score (0–100) with per-finding explanations. Skills above threshold quarantined (renamed to .quarantine so OpenClaw ignores them). User notified via system notification + terminal.</w:t>
      </w:r>
    </w:p>
    <w:p>
      <w:pPr>
        <w:spacing w:after="70" w:before="0"/>
        <w:jc w:val="left"/>
      </w:pPr>
      <w:r>
        <w:rPr>
          <w:rFonts w:ascii="Arial" w:cs="Arial" w:eastAsia="Arial" w:hAnsi="Arial"/>
          <w:b/>
          <w:bCs/>
          <w:color w:val="2C3E50"/>
          <w:sz w:val="18"/>
          <w:szCs w:val="18"/>
        </w:rPr>
        <w:t xml:space="preserve">Performance target: </w:t>
      </w:r>
      <w:r>
        <w:rPr>
          <w:rFonts w:ascii="Arial" w:cs="Arial" w:eastAsia="Arial" w:hAnsi="Arial"/>
          <w:color w:val="2C3E50"/>
          <w:sz w:val="18"/>
          <w:szCs w:val="18"/>
        </w:rPr>
        <w:t xml:space="preserve">&lt;2 seconds per skill including hash lookup.</w:t>
      </w:r>
    </w:p>
    <w:p>
      <w:pPr>
        <w:spacing w:after="60" w:before="140"/>
      </w:pPr>
      <w:r>
        <w:rPr>
          <w:rFonts w:ascii="Arial" w:cs="Arial" w:eastAsia="Arial" w:hAnsi="Arial"/>
          <w:b/>
          <w:bCs/>
          <w:color w:val="1A5276"/>
          <w:sz w:val="21"/>
          <w:szCs w:val="21"/>
        </w:rPr>
        <w:t xml:space="preserve">2. Sandbox Detonation</w:t>
      </w:r>
    </w:p>
    <w:p>
      <w:pPr>
        <w:spacing w:after="50" w:before="0"/>
        <w:jc w:val="left"/>
      </w:pPr>
      <w:r>
        <w:rPr>
          <w:rFonts w:ascii="Arial" w:cs="Arial" w:eastAsia="Arial" w:hAnsi="Arial"/>
          <w:color w:val="2C3E50"/>
          <w:sz w:val="18"/>
          <w:szCs w:val="18"/>
        </w:rPr>
        <w:t xml:space="preserve">When static analysis flags a skill as suspicious (or on user request), ClawGuard spins up an isolated Docker/Podman container with a honeypot environment and runs the skill against a dummy OpenClaw agent to observe actual behavior.</w:t>
      </w:r>
    </w:p>
    <w:p>
      <w:pPr>
        <w:spacing w:after="30" w:before="0"/>
        <w:jc w:val="left"/>
      </w:pPr>
      <w:r>
        <w:rPr>
          <w:rFonts w:ascii="Arial" w:cs="Arial" w:eastAsia="Arial" w:hAnsi="Arial"/>
          <w:b/>
          <w:bCs/>
          <w:color w:val="2C3E50"/>
          <w:sz w:val="18"/>
          <w:szCs w:val="18"/>
        </w:rPr>
        <w:t xml:space="preserve">Sandbox environment:</w:t>
      </w:r>
    </w:p>
    <w:p>
      <w:pPr>
        <w:pStyle w:val="ListParagraph"/>
        <w:numPr>
          <w:ilvl w:val="0"/>
          <w:numId w:val="2"/>
        </w:numPr>
        <w:spacing w:after="35"/>
      </w:pPr>
      <w:r>
        <w:rPr>
          <w:rFonts w:ascii="Arial" w:cs="Arial" w:eastAsia="Arial" w:hAnsi="Arial"/>
          <w:b/>
          <w:bCs/>
          <w:color w:val="2C3E50"/>
          <w:sz w:val="18"/>
          <w:szCs w:val="18"/>
        </w:rPr>
        <w:t xml:space="preserve">Minimal OpenClaw install </w:t>
      </w:r>
      <w:r>
        <w:rPr>
          <w:rFonts w:ascii="Arial" w:cs="Arial" w:eastAsia="Arial" w:hAnsi="Arial"/>
          <w:color w:val="2C3E50"/>
          <w:sz w:val="18"/>
          <w:szCs w:val="18"/>
        </w:rPr>
        <w:t xml:space="preserve">with dummy agent responding to standard prompts</w:t>
      </w:r>
    </w:p>
    <w:p>
      <w:pPr>
        <w:pStyle w:val="ListParagraph"/>
        <w:numPr>
          <w:ilvl w:val="0"/>
          <w:numId w:val="2"/>
        </w:numPr>
        <w:spacing w:after="35"/>
      </w:pPr>
      <w:r>
        <w:rPr>
          <w:rFonts w:ascii="Arial" w:cs="Arial" w:eastAsia="Arial" w:hAnsi="Arial"/>
          <w:b/>
          <w:bCs/>
          <w:color w:val="2C3E50"/>
          <w:sz w:val="18"/>
          <w:szCs w:val="18"/>
        </w:rPr>
        <w:t xml:space="preserve">Honeypot credentials: </w:t>
      </w:r>
      <w:r>
        <w:rPr>
          <w:rFonts w:ascii="Arial" w:cs="Arial" w:eastAsia="Arial" w:hAnsi="Arial"/>
          <w:color w:val="2C3E50"/>
          <w:sz w:val="18"/>
          <w:szCs w:val="18"/>
        </w:rPr>
        <w:t xml:space="preserve">fake ~/.ssh/id_rsa, fake .env with trackable decoy API keys (Anthropic, Stripe, GitHub, AWS)</w:t>
      </w:r>
    </w:p>
    <w:p>
      <w:pPr>
        <w:pStyle w:val="ListParagraph"/>
        <w:numPr>
          <w:ilvl w:val="0"/>
          <w:numId w:val="2"/>
        </w:numPr>
        <w:spacing w:after="35"/>
      </w:pPr>
      <w:r>
        <w:rPr>
          <w:rFonts w:ascii="Arial" w:cs="Arial" w:eastAsia="Arial" w:hAnsi="Arial"/>
          <w:b/>
          <w:bCs/>
          <w:color w:val="2C3E50"/>
          <w:sz w:val="18"/>
          <w:szCs w:val="18"/>
        </w:rPr>
        <w:t xml:space="preserve">Network tap: </w:t>
      </w:r>
      <w:r>
        <w:rPr>
          <w:rFonts w:ascii="Arial" w:cs="Arial" w:eastAsia="Arial" w:hAnsi="Arial"/>
          <w:color w:val="2C3E50"/>
          <w:sz w:val="18"/>
          <w:szCs w:val="18"/>
        </w:rPr>
        <w:t xml:space="preserve">tcpdump / transparent proxy capturing all outbound connections, destinations, payloads</w:t>
      </w:r>
    </w:p>
    <w:p>
      <w:pPr>
        <w:pStyle w:val="ListParagraph"/>
        <w:numPr>
          <w:ilvl w:val="0"/>
          <w:numId w:val="2"/>
        </w:numPr>
        <w:spacing w:after="35"/>
      </w:pPr>
      <w:r>
        <w:rPr>
          <w:rFonts w:ascii="Arial" w:cs="Arial" w:eastAsia="Arial" w:hAnsi="Arial"/>
          <w:b/>
          <w:bCs/>
          <w:color w:val="2C3E50"/>
          <w:sz w:val="18"/>
          <w:szCs w:val="18"/>
        </w:rPr>
        <w:t xml:space="preserve">Filesystem monitor: </w:t>
      </w:r>
      <w:r>
        <w:rPr>
          <w:rFonts w:ascii="Arial" w:cs="Arial" w:eastAsia="Arial" w:hAnsi="Arial"/>
          <w:color w:val="2C3E50"/>
          <w:sz w:val="18"/>
          <w:szCs w:val="18"/>
        </w:rPr>
        <w:t xml:space="preserve">records every file read/write/modify, especially MEMORY.md, SOUL.md, USER.md, config</w:t>
      </w:r>
    </w:p>
    <w:p>
      <w:pPr>
        <w:pStyle w:val="ListParagraph"/>
        <w:numPr>
          <w:ilvl w:val="0"/>
          <w:numId w:val="2"/>
        </w:numPr>
        <w:spacing w:after="35"/>
      </w:pPr>
      <w:r>
        <w:rPr>
          <w:rFonts w:ascii="Arial" w:cs="Arial" w:eastAsia="Arial" w:hAnsi="Arial"/>
          <w:b/>
          <w:bCs/>
          <w:color w:val="2C3E50"/>
          <w:sz w:val="18"/>
          <w:szCs w:val="18"/>
        </w:rPr>
        <w:t xml:space="preserve">Baseline MEMORY.md: </w:t>
      </w:r>
      <w:r>
        <w:rPr>
          <w:rFonts w:ascii="Arial" w:cs="Arial" w:eastAsia="Arial" w:hAnsi="Arial"/>
          <w:color w:val="2C3E50"/>
          <w:sz w:val="18"/>
          <w:szCs w:val="18"/>
        </w:rPr>
        <w:t xml:space="preserve">pre-populated with known-clean content; post-execution diff detects injection</w:t>
      </w:r>
    </w:p>
    <w:p>
      <w:pPr>
        <w:shd w:fill="FEF9E7" w:val="clear"/>
        <w:spacing w:after="60" w:before="60"/>
        <w:ind w:left="80" w:right="80"/>
      </w:pPr>
      <w:r>
        <w:rPr>
          <w:rFonts w:ascii="Arial" w:cs="Arial" w:eastAsia="Arial" w:hAnsi="Arial"/>
          <w:b/>
          <w:bCs/>
          <w:color w:val="B7950B"/>
          <w:sz w:val="17"/>
          <w:szCs w:val="17"/>
        </w:rPr>
        <w:t xml:space="preserve">▶ AMENDED: </w:t>
      </w:r>
      <w:r>
        <w:rPr>
          <w:rFonts w:ascii="Arial" w:cs="Arial" w:eastAsia="Arial" w:hAnsi="Arial"/>
          <w:i/>
          <w:iCs/>
          <w:color w:val="B7950B"/>
          <w:sz w:val="17"/>
          <w:szCs w:val="17"/>
        </w:rPr>
        <w:t xml:space="preserve">Detonation MVP must specifically exercise the dominant abuse pattern: staged download chains. The dummy agent must follow fetch/install instructions from the skill, and we monitor what it downloads, where it connects, and what it executes. Passively loading the skill is insufficient — workflow malware only triggers when the agent acts on the instructions.</w:t>
      </w:r>
    </w:p>
    <w:p>
      <w:pPr>
        <w:spacing w:after="30" w:before="0"/>
        <w:jc w:val="left"/>
      </w:pPr>
      <w:r>
        <w:rPr>
          <w:rFonts w:ascii="Arial" w:cs="Arial" w:eastAsia="Arial" w:hAnsi="Arial"/>
          <w:b/>
          <w:bCs/>
          <w:color w:val="2C3E50"/>
          <w:sz w:val="18"/>
          <w:szCs w:val="18"/>
        </w:rPr>
        <w:t xml:space="preserve">Execution flow:</w:t>
      </w:r>
    </w:p>
    <w:p>
      <w:pPr>
        <w:pStyle w:val="ListParagraph"/>
        <w:numPr>
          <w:ilvl w:val="0"/>
          <w:numId w:val="2"/>
        </w:numPr>
        <w:spacing w:after="35"/>
      </w:pPr>
      <w:r>
        <w:rPr>
          <w:rFonts w:ascii="Arial" w:cs="Arial" w:eastAsia="Arial" w:hAnsi="Arial"/>
          <w:color w:val="2C3E50"/>
          <w:sz w:val="18"/>
          <w:szCs w:val="18"/>
        </w:rPr>
        <w:t xml:space="preserve">Container spins up with pre-built image (~200MB, cached after first pull)</w:t>
      </w:r>
    </w:p>
    <w:p>
      <w:pPr>
        <w:pStyle w:val="ListParagraph"/>
        <w:numPr>
          <w:ilvl w:val="0"/>
          <w:numId w:val="2"/>
        </w:numPr>
        <w:spacing w:after="35"/>
      </w:pPr>
      <w:r>
        <w:rPr>
          <w:rFonts w:ascii="Arial" w:cs="Arial" w:eastAsia="Arial" w:hAnsi="Arial"/>
          <w:color w:val="2C3E50"/>
          <w:sz w:val="18"/>
          <w:szCs w:val="18"/>
        </w:rPr>
        <w:t xml:space="preserve">Skill injected into container’s workspace/skills/</w:t>
      </w:r>
    </w:p>
    <w:p>
      <w:pPr>
        <w:pStyle w:val="ListParagraph"/>
        <w:numPr>
          <w:ilvl w:val="0"/>
          <w:numId w:val="2"/>
        </w:numPr>
        <w:spacing w:after="35"/>
      </w:pPr>
      <w:r>
        <w:rPr>
          <w:rFonts w:ascii="Arial" w:cs="Arial" w:eastAsia="Arial" w:hAnsi="Arial"/>
          <w:color w:val="2C3E50"/>
          <w:sz w:val="18"/>
          <w:szCs w:val="18"/>
        </w:rPr>
        <w:t xml:space="preserve">Dummy agent receives 3–5 prompts exercising the skill’s declared capabilities, including any “setup” or “initialize” instructions</w:t>
      </w:r>
    </w:p>
    <w:p>
      <w:pPr>
        <w:pStyle w:val="ListParagraph"/>
        <w:numPr>
          <w:ilvl w:val="0"/>
          <w:numId w:val="2"/>
        </w:numPr>
        <w:spacing w:after="35"/>
      </w:pPr>
      <w:r>
        <w:rPr>
          <w:rFonts w:ascii="Arial" w:cs="Arial" w:eastAsia="Arial" w:hAnsi="Arial"/>
          <w:color w:val="2C3E50"/>
          <w:sz w:val="18"/>
          <w:szCs w:val="18"/>
        </w:rPr>
        <w:t xml:space="preserve">All tool calls, network activity, file access, memory changes recorded for 30–60 seconds</w:t>
      </w:r>
    </w:p>
    <w:p>
      <w:pPr>
        <w:pStyle w:val="ListParagraph"/>
        <w:numPr>
          <w:ilvl w:val="0"/>
          <w:numId w:val="2"/>
        </w:numPr>
        <w:spacing w:after="35"/>
      </w:pPr>
      <w:r>
        <w:rPr>
          <w:rFonts w:ascii="Arial" w:cs="Arial" w:eastAsia="Arial" w:hAnsi="Arial"/>
          <w:color w:val="2C3E50"/>
          <w:sz w:val="18"/>
          <w:szCs w:val="18"/>
        </w:rPr>
        <w:t xml:space="preserve">Container destroyed. Diff report generated against clean baseline</w:t>
      </w:r>
    </w:p>
    <w:p>
      <w:pPr>
        <w:spacing w:after="15" w:before="0"/>
        <w:jc w:val="left"/>
      </w:pPr>
      <w:r>
        <w:rPr>
          <w:rFonts w:ascii="Arial" w:cs="Arial" w:eastAsia="Arial" w:hAnsi="Arial"/>
          <w:color w:val="2C3E50"/>
          <w:sz w:val="19"/>
          <w:szCs w:val="19"/>
        </w:rPr>
        <w:t xml:space="preserve"/>
      </w:r>
    </w:p>
    <w:p>
      <w:pPr>
        <w:spacing w:after="30" w:before="0"/>
        <w:jc w:val="left"/>
      </w:pPr>
      <w:r>
        <w:rPr>
          <w:rFonts w:ascii="Arial" w:cs="Arial" w:eastAsia="Arial" w:hAnsi="Arial"/>
          <w:b/>
          <w:bCs/>
          <w:color w:val="2C3E50"/>
          <w:sz w:val="18"/>
          <w:szCs w:val="18"/>
        </w:rPr>
        <w:t xml:space="preserve">Output: </w:t>
      </w:r>
      <w:r>
        <w:rPr>
          <w:rFonts w:ascii="Arial" w:cs="Arial" w:eastAsia="Arial" w:hAnsi="Arial"/>
          <w:color w:val="2C3E50"/>
          <w:sz w:val="18"/>
          <w:szCs w:val="18"/>
        </w:rPr>
        <w:t xml:space="preserve">Behavioral report in plain language. The demo moment: “This skill told your agent to curl a script from pastebin.com and pipe it to bash. The script attempted to read ~/.ssh/id_rsa and POST it to 185.x.x.x.”</w:t>
      </w:r>
    </w:p>
    <w:p>
      <w:pPr>
        <w:spacing w:after="70" w:before="0"/>
        <w:jc w:val="left"/>
      </w:pPr>
      <w:r>
        <w:rPr>
          <w:rFonts w:ascii="Arial" w:cs="Arial" w:eastAsia="Arial" w:hAnsi="Arial"/>
          <w:b/>
          <w:bCs/>
          <w:color w:val="2C3E50"/>
          <w:sz w:val="18"/>
          <w:szCs w:val="18"/>
        </w:rPr>
        <w:t xml:space="preserve">Performance target: </w:t>
      </w:r>
      <w:r>
        <w:rPr>
          <w:rFonts w:ascii="Arial" w:cs="Arial" w:eastAsia="Arial" w:hAnsi="Arial"/>
          <w:color w:val="2C3E50"/>
          <w:sz w:val="18"/>
          <w:szCs w:val="18"/>
        </w:rPr>
        <w:t xml:space="preserve">&lt;90 seconds end-to-end including container lifecycle.</w:t>
      </w:r>
    </w:p>
    <w:p>
      <w:pPr>
        <w:spacing w:after="60" w:before="140"/>
      </w:pPr>
      <w:r>
        <w:rPr>
          <w:rFonts w:ascii="Arial" w:cs="Arial" w:eastAsia="Arial" w:hAnsi="Arial"/>
          <w:b/>
          <w:bCs/>
          <w:color w:val="1A5276"/>
          <w:sz w:val="21"/>
          <w:szCs w:val="21"/>
        </w:rPr>
        <w:t xml:space="preserve">3. Quarantine + Decision Interface</w:t>
      </w:r>
    </w:p>
    <w:p>
      <w:pPr>
        <w:spacing w:after="40" w:before="0"/>
        <w:jc w:val="left"/>
      </w:pPr>
      <w:r>
        <w:rPr>
          <w:rFonts w:ascii="Arial" w:cs="Arial" w:eastAsia="Arial" w:hAnsi="Arial"/>
          <w:color w:val="2C3E50"/>
          <w:sz w:val="18"/>
          <w:szCs w:val="18"/>
        </w:rPr>
        <w:t xml:space="preserve">Suspicious skills held until user makes an informed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AED6F1" w:sz="1"/>
              <w:left w:val="single" w:color="AED6F1" w:sz="1"/>
              <w:bottom w:val="single" w:color="AED6F1" w:sz="1"/>
              <w:right w:val="single" w:color="AED6F1" w:sz="1"/>
            </w:tcBorders>
            <w:shd w:fill="EBF5FB" w:val="clear"/>
            <w:tcMar>
              <w:top w:type="dxa" w:w="50"/>
              <w:left w:type="dxa" w:w="100"/>
              <w:bottom w:type="dxa" w:w="50"/>
              <w:right w:type="dxa" w:w="100"/>
            </w:tcMar>
          </w:tcPr>
          <w:p>
            <w:pPr>
              <w:spacing w:after="15" w:before="15"/>
              <w:jc w:val="left"/>
            </w:pPr>
            <w:r>
              <w:rPr>
                <w:rFonts w:ascii="Arial" w:cs="Arial" w:eastAsia="Arial" w:hAnsi="Arial"/>
                <w:b/>
                <w:bCs/>
                <w:color w:val="2C3E50"/>
                <w:sz w:val="15"/>
                <w:szCs w:val="15"/>
              </w:rPr>
              <w:t xml:space="preserve">clawguard report &lt;slug&gt;</w:t>
            </w:r>
          </w:p>
        </w:tc>
        <w:tc>
          <w:tcPr>
            <w:tcW w:type="dxa" w:w="70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Full analysis: static findings + sandbox report + risk score + ClawHub/VT verdict if available</w:t>
            </w:r>
          </w:p>
        </w:tc>
      </w:tr>
      <w:tr>
        <w:tc>
          <w:tcPr>
            <w:tcW w:type="dxa" w:w="3000"/>
            <w:tcBorders>
              <w:top w:val="single" w:color="AED6F1" w:sz="1"/>
              <w:left w:val="single" w:color="AED6F1" w:sz="1"/>
              <w:bottom w:val="single" w:color="AED6F1" w:sz="1"/>
              <w:right w:val="single" w:color="AED6F1" w:sz="1"/>
            </w:tcBorders>
            <w:shd w:fill="EBF5FB" w:val="clear"/>
            <w:tcMar>
              <w:top w:type="dxa" w:w="50"/>
              <w:left w:type="dxa" w:w="100"/>
              <w:bottom w:type="dxa" w:w="50"/>
              <w:right w:type="dxa" w:w="100"/>
            </w:tcMar>
          </w:tcPr>
          <w:p>
            <w:pPr>
              <w:spacing w:after="15" w:before="15"/>
              <w:jc w:val="left"/>
            </w:pPr>
            <w:r>
              <w:rPr>
                <w:rFonts w:ascii="Arial" w:cs="Arial" w:eastAsia="Arial" w:hAnsi="Arial"/>
                <w:b/>
                <w:bCs/>
                <w:color w:val="2C3E50"/>
                <w:sz w:val="15"/>
                <w:szCs w:val="15"/>
              </w:rPr>
              <w:t xml:space="preserve">clawguard allow &lt;slug&gt;</w:t>
            </w:r>
          </w:p>
        </w:tc>
        <w:tc>
          <w:tcPr>
            <w:tcW w:type="dxa" w:w="70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Remove from quarantine, whitelist by content hash. Loaded on next OpenClaw session.</w:t>
            </w:r>
          </w:p>
        </w:tc>
      </w:tr>
      <w:tr>
        <w:tc>
          <w:tcPr>
            <w:tcW w:type="dxa" w:w="3000"/>
            <w:tcBorders>
              <w:top w:val="single" w:color="AED6F1" w:sz="1"/>
              <w:left w:val="single" w:color="AED6F1" w:sz="1"/>
              <w:bottom w:val="single" w:color="AED6F1" w:sz="1"/>
              <w:right w:val="single" w:color="AED6F1" w:sz="1"/>
            </w:tcBorders>
            <w:shd w:fill="EBF5FB" w:val="clear"/>
            <w:tcMar>
              <w:top w:type="dxa" w:w="50"/>
              <w:left w:type="dxa" w:w="100"/>
              <w:bottom w:type="dxa" w:w="50"/>
              <w:right w:type="dxa" w:w="100"/>
            </w:tcMar>
          </w:tcPr>
          <w:p>
            <w:pPr>
              <w:spacing w:after="15" w:before="15"/>
              <w:jc w:val="left"/>
            </w:pPr>
            <w:r>
              <w:rPr>
                <w:rFonts w:ascii="Arial" w:cs="Arial" w:eastAsia="Arial" w:hAnsi="Arial"/>
                <w:b/>
                <w:bCs/>
                <w:color w:val="2C3E50"/>
                <w:sz w:val="15"/>
                <w:szCs w:val="15"/>
              </w:rPr>
              <w:t xml:space="preserve">clawguard block &lt;slug&gt;</w:t>
            </w:r>
          </w:p>
        </w:tc>
        <w:tc>
          <w:tcPr>
            <w:tcW w:type="dxa" w:w="70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Permanently block. Directory deleted. Hash blocklisted. Optional: report to ClawHub moderation API.</w:t>
            </w:r>
          </w:p>
        </w:tc>
      </w:tr>
    </w:tbl>
    <w:p>
      <w:pPr>
        <w:spacing w:after="70" w:before="60"/>
        <w:jc w:val="left"/>
      </w:pPr>
      <w:r>
        <w:rPr>
          <w:rFonts w:ascii="Arial" w:cs="Arial" w:eastAsia="Arial" w:hAnsi="Arial"/>
          <w:b/>
          <w:bCs/>
          <w:color w:val="2C3E50"/>
          <w:sz w:val="18"/>
          <w:szCs w:val="18"/>
        </w:rPr>
        <w:t xml:space="preserve">Whitelist is hash-based </w:t>
      </w:r>
      <w:r>
        <w:rPr>
          <w:rFonts w:ascii="Arial" w:cs="Arial" w:eastAsia="Arial" w:hAnsi="Arial"/>
          <w:color w:val="2C3E50"/>
          <w:sz w:val="18"/>
          <w:szCs w:val="18"/>
        </w:rPr>
        <w:t xml:space="preserve">— skill updates change the hash, triggering full re-scan. Prevents silent replacement with malicious update.</w:t>
      </w:r>
    </w:p>
    <w:p>
      <w:pPr>
        <w:shd w:fill="1A5276" w:val="clear"/>
        <w:spacing w:after="100" w:before="220"/>
        <w:ind w:left="80" w:right="80"/>
      </w:pPr>
      <w:r>
        <w:rPr>
          <w:rFonts w:ascii="Arial" w:cs="Arial" w:eastAsia="Arial" w:hAnsi="Arial"/>
          <w:b/>
          <w:bCs/>
          <w:color w:val="FFFFFF"/>
          <w:sz w:val="21"/>
          <w:szCs w:val="21"/>
        </w:rPr>
        <w:t xml:space="preserve">ARCHITECTURE OVERVIEW</w:t>
      </w:r>
    </w:p>
    <w:p>
      <w:pPr>
        <w:spacing w:after="40" w:before="0"/>
        <w:jc w:val="left"/>
      </w:pPr>
      <w:r>
        <w:rPr>
          <w:rFonts w:ascii="Arial" w:cs="Arial" w:eastAsia="Arial" w:hAnsi="Arial"/>
          <w:color w:val="2C3E50"/>
          <w:sz w:val="18"/>
          <w:szCs w:val="18"/>
        </w:rPr>
        <w:t xml:space="preserve">ClawGuard runs as two processes: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AED6F1" w:sz="1"/>
              <w:left w:val="single" w:color="AED6F1" w:sz="1"/>
              <w:bottom w:val="single" w:color="AED6F1" w:sz="1"/>
              <w:right w:val="single" w:color="AED6F1" w:sz="1"/>
            </w:tcBorders>
            <w:shd w:fill="D6EAF8" w:val="clear"/>
            <w:tcMar>
              <w:top w:type="dxa" w:w="50"/>
              <w:left w:type="dxa" w:w="100"/>
              <w:bottom w:type="dxa" w:w="50"/>
              <w:right w:type="dxa" w:w="100"/>
            </w:tcMar>
          </w:tcPr>
          <w:p>
            <w:pPr>
              <w:spacing w:after="15" w:before="15"/>
              <w:jc w:val="left"/>
            </w:pPr>
            <w:r>
              <w:rPr>
                <w:rFonts w:ascii="Arial" w:cs="Arial" w:eastAsia="Arial" w:hAnsi="Arial"/>
                <w:b/>
                <w:bCs/>
                <w:color w:val="2C3E50"/>
                <w:sz w:val="17"/>
                <w:szCs w:val="17"/>
              </w:rPr>
              <w:t xml:space="preserve">Daemon</w:t>
            </w:r>
          </w:p>
        </w:tc>
        <w:tc>
          <w:tcPr>
            <w:tcW w:type="dxa" w:w="80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30"/>
            </w:pPr>
            <w:r>
              <w:rPr>
                <w:rFonts w:ascii="Arial" w:cs="Arial" w:eastAsia="Arial" w:hAnsi="Arial"/>
                <w:b/>
                <w:bCs/>
                <w:color w:val="2C3E50"/>
                <w:sz w:val="16"/>
                <w:szCs w:val="16"/>
              </w:rPr>
              <w:t xml:space="preserve">clawguard daemon (launchd/systemd user service)</w:t>
            </w:r>
          </w:p>
          <w:p>
            <w:pPr>
              <w:spacing w:after="8"/>
            </w:pPr>
            <w:r>
              <w:rPr>
                <w:rFonts w:ascii="Arial" w:cs="Arial" w:eastAsia="Arial" w:hAnsi="Arial"/>
                <w:color w:val="2C3E50"/>
                <w:sz w:val="16"/>
                <w:szCs w:val="16"/>
              </w:rPr>
              <w:t xml:space="preserve">Filesystem watcher on all detected skill directories. Auto-discovers workspace from ~/.openclaw/openclaw.json. Triggers static analysis + hash lookup on new/modified skills. Manages quarantine. System notifications.</w:t>
            </w:r>
          </w:p>
        </w:tc>
      </w:tr>
      <w:tr>
        <w:tc>
          <w:tcPr>
            <w:tcW w:type="dxa" w:w="2000"/>
            <w:tcBorders>
              <w:top w:val="single" w:color="AED6F1" w:sz="1"/>
              <w:left w:val="single" w:color="AED6F1" w:sz="1"/>
              <w:bottom w:val="single" w:color="AED6F1" w:sz="1"/>
              <w:right w:val="single" w:color="AED6F1" w:sz="1"/>
            </w:tcBorders>
            <w:shd w:fill="D6EAF8" w:val="clear"/>
            <w:tcMar>
              <w:top w:type="dxa" w:w="50"/>
              <w:left w:type="dxa" w:w="100"/>
              <w:bottom w:type="dxa" w:w="50"/>
              <w:right w:type="dxa" w:w="100"/>
            </w:tcMar>
          </w:tcPr>
          <w:p>
            <w:pPr>
              <w:spacing w:after="15" w:before="15"/>
              <w:jc w:val="left"/>
            </w:pPr>
            <w:r>
              <w:rPr>
                <w:rFonts w:ascii="Arial" w:cs="Arial" w:eastAsia="Arial" w:hAnsi="Arial"/>
                <w:b/>
                <w:bCs/>
                <w:color w:val="2C3E50"/>
                <w:sz w:val="17"/>
                <w:szCs w:val="17"/>
              </w:rPr>
              <w:t xml:space="preserve">CLI</w:t>
            </w:r>
          </w:p>
        </w:tc>
        <w:tc>
          <w:tcPr>
            <w:tcW w:type="dxa" w:w="80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30"/>
            </w:pPr>
            <w:r>
              <w:rPr>
                <w:rFonts w:ascii="Arial" w:cs="Arial" w:eastAsia="Arial" w:hAnsi="Arial"/>
                <w:b/>
                <w:bCs/>
                <w:color w:val="2C3E50"/>
                <w:sz w:val="16"/>
                <w:szCs w:val="16"/>
              </w:rPr>
              <w:t xml:space="preserve">clawguard &lt;command&gt;</w:t>
            </w:r>
          </w:p>
          <w:p>
            <w:pPr>
              <w:spacing w:after="8"/>
            </w:pPr>
            <w:r>
              <w:rPr>
                <w:rFonts w:ascii="Arial" w:cs="Arial" w:eastAsia="Arial" w:hAnsi="Arial"/>
                <w:color w:val="2C3E50"/>
                <w:sz w:val="16"/>
                <w:szCs w:val="16"/>
              </w:rPr>
              <w:t xml:space="preserve">User-facing: report, allow, block, scan, detonate, status, audit (scan all installed). Communicates with daemon via Unix socket.</w:t>
            </w:r>
          </w:p>
        </w:tc>
      </w:tr>
    </w:tbl>
    <w:p>
      <w:pPr>
        <w:spacing w:after="30" w:before="0"/>
        <w:jc w:val="left"/>
      </w:pPr>
      <w:r>
        <w:rPr>
          <w:rFonts w:ascii="Arial" w:cs="Arial" w:eastAsia="Arial" w:hAnsi="Arial"/>
          <w:color w:val="2C3E50"/>
          <w:sz w:val="19"/>
          <w:szCs w:val="19"/>
        </w:rPr>
        <w:t xml:space="preserve"/>
      </w:r>
    </w:p>
    <w:p>
      <w:pPr>
        <w:spacing w:after="30" w:before="0"/>
        <w:jc w:val="left"/>
      </w:pPr>
      <w:r>
        <w:rPr>
          <w:rFonts w:ascii="Arial" w:cs="Arial" w:eastAsia="Arial" w:hAnsi="Arial"/>
          <w:b/>
          <w:bCs/>
          <w:color w:val="2C3E50"/>
          <w:sz w:val="18"/>
          <w:szCs w:val="18"/>
        </w:rPr>
        <w:t xml:space="preserve">OpenClaw detection (priority order):</w:t>
      </w:r>
    </w:p>
    <w:p>
      <w:pPr>
        <w:pStyle w:val="ListParagraph"/>
        <w:numPr>
          <w:ilvl w:val="0"/>
          <w:numId w:val="2"/>
        </w:numPr>
        <w:spacing w:after="35"/>
      </w:pPr>
      <w:r>
        <w:rPr>
          <w:rFonts w:ascii="Arial" w:cs="Arial" w:eastAsia="Arial" w:hAnsi="Arial"/>
          <w:b/>
          <w:bCs/>
          <w:color w:val="2C3E50"/>
          <w:sz w:val="18"/>
          <w:szCs w:val="18"/>
        </w:rPr>
        <w:t xml:space="preserve">Primary: </w:t>
      </w:r>
      <w:r>
        <w:rPr>
          <w:rFonts w:ascii="Arial" w:cs="Arial" w:eastAsia="Arial" w:hAnsi="Arial"/>
          <w:color w:val="2C3E50"/>
          <w:sz w:val="18"/>
          <w:szCs w:val="18"/>
        </w:rPr>
        <w:t xml:space="preserve">Parse ~/.openclaw/openclaw.json for workspace and skills directories</w:t>
      </w:r>
    </w:p>
    <w:p>
      <w:pPr>
        <w:pStyle w:val="ListParagraph"/>
        <w:numPr>
          <w:ilvl w:val="0"/>
          <w:numId w:val="2"/>
        </w:numPr>
        <w:spacing w:after="35"/>
      </w:pPr>
      <w:r>
        <w:rPr>
          <w:rFonts w:ascii="Arial" w:cs="Arial" w:eastAsia="Arial" w:hAnsi="Arial"/>
          <w:b/>
          <w:bCs/>
          <w:color w:val="2C3E50"/>
          <w:sz w:val="18"/>
          <w:szCs w:val="18"/>
        </w:rPr>
        <w:t xml:space="preserve">Secondary: </w:t>
      </w:r>
      <w:r>
        <w:rPr>
          <w:rFonts w:ascii="Arial" w:cs="Arial" w:eastAsia="Arial" w:hAnsi="Arial"/>
          <w:color w:val="2C3E50"/>
          <w:sz w:val="18"/>
          <w:szCs w:val="18"/>
        </w:rPr>
        <w:t xml:space="preserve">.clawhub/lock.json for installed skill manifest</w:t>
      </w:r>
    </w:p>
    <w:p>
      <w:pPr>
        <w:pStyle w:val="ListParagraph"/>
        <w:numPr>
          <w:ilvl w:val="0"/>
          <w:numId w:val="2"/>
        </w:numPr>
        <w:spacing w:after="35"/>
      </w:pPr>
      <w:r>
        <w:rPr>
          <w:rFonts w:ascii="Arial" w:cs="Arial" w:eastAsia="Arial" w:hAnsi="Arial"/>
          <w:b/>
          <w:bCs/>
          <w:color w:val="2C3E50"/>
          <w:sz w:val="18"/>
          <w:szCs w:val="18"/>
        </w:rPr>
        <w:t xml:space="preserve">Tertiary: </w:t>
      </w:r>
      <w:r>
        <w:rPr>
          <w:rFonts w:ascii="Arial" w:cs="Arial" w:eastAsia="Arial" w:hAnsi="Arial"/>
          <w:color w:val="2C3E50"/>
          <w:sz w:val="18"/>
          <w:szCs w:val="18"/>
        </w:rPr>
        <w:t xml:space="preserve">Known defaults: ~/.openclaw/skills/, ~/openclaw/skills/, CWD/skills/</w:t>
      </w:r>
    </w:p>
    <w:p>
      <w:pPr>
        <w:pStyle w:val="ListParagraph"/>
        <w:numPr>
          <w:ilvl w:val="0"/>
          <w:numId w:val="2"/>
        </w:numPr>
        <w:spacing w:after="35"/>
      </w:pPr>
      <w:r>
        <w:rPr>
          <w:rFonts w:ascii="Arial" w:cs="Arial" w:eastAsia="Arial" w:hAnsi="Arial"/>
          <w:b/>
          <w:bCs/>
          <w:color w:val="2C3E50"/>
          <w:sz w:val="18"/>
          <w:szCs w:val="18"/>
        </w:rPr>
        <w:t xml:space="preserve">Daemon: </w:t>
      </w:r>
      <w:r>
        <w:rPr>
          <w:rFonts w:ascii="Arial" w:cs="Arial" w:eastAsia="Arial" w:hAnsi="Arial"/>
          <w:color w:val="2C3E50"/>
          <w:sz w:val="18"/>
          <w:szCs w:val="18"/>
        </w:rPr>
        <w:t xml:space="preserve">Query launchctl / systemctl --user to confirm gateway is running</w:t>
      </w:r>
    </w:p>
    <w:p>
      <w:pPr>
        <w:spacing w:after="15" w:before="0"/>
        <w:jc w:val="left"/>
      </w:pPr>
      <w:r>
        <w:rPr>
          <w:rFonts w:ascii="Arial" w:cs="Arial" w:eastAsia="Arial" w:hAnsi="Arial"/>
          <w:color w:val="2C3E50"/>
          <w:sz w:val="19"/>
          <w:szCs w:val="19"/>
        </w:rPr>
        <w:t xml:space="preserve"/>
      </w:r>
    </w:p>
    <w:p>
      <w:pPr>
        <w:spacing w:after="30" w:before="0"/>
        <w:jc w:val="left"/>
      </w:pPr>
      <w:r>
        <w:rPr>
          <w:rFonts w:ascii="Arial" w:cs="Arial" w:eastAsia="Arial" w:hAnsi="Arial"/>
          <w:b/>
          <w:bCs/>
          <w:color w:val="2C3E50"/>
          <w:sz w:val="18"/>
          <w:szCs w:val="18"/>
        </w:rPr>
        <w:t xml:space="preserve">Key design decisions:</w:t>
      </w:r>
    </w:p>
    <w:p>
      <w:pPr>
        <w:pStyle w:val="ListParagraph"/>
        <w:numPr>
          <w:ilvl w:val="0"/>
          <w:numId w:val="2"/>
        </w:numPr>
        <w:spacing w:after="35"/>
      </w:pPr>
      <w:r>
        <w:rPr>
          <w:rFonts w:ascii="Arial" w:cs="Arial" w:eastAsia="Arial" w:hAnsi="Arial"/>
          <w:b/>
          <w:bCs/>
          <w:color w:val="2C3E50"/>
          <w:sz w:val="18"/>
          <w:szCs w:val="18"/>
        </w:rPr>
        <w:t xml:space="preserve">No monkey-patching. </w:t>
      </w:r>
      <w:r>
        <w:rPr>
          <w:rFonts w:ascii="Arial" w:cs="Arial" w:eastAsia="Arial" w:hAnsi="Arial"/>
          <w:color w:val="2C3E50"/>
          <w:sz w:val="18"/>
          <w:szCs w:val="18"/>
        </w:rPr>
        <w:t xml:space="preserve">Filesystem watching + Docker orchestration only. Works with any OpenClaw version.</w:t>
      </w:r>
    </w:p>
    <w:p>
      <w:pPr>
        <w:pStyle w:val="ListParagraph"/>
        <w:numPr>
          <w:ilvl w:val="0"/>
          <w:numId w:val="2"/>
        </w:numPr>
        <w:spacing w:after="35"/>
      </w:pPr>
      <w:r>
        <w:rPr>
          <w:rFonts w:ascii="Arial" w:cs="Arial" w:eastAsia="Arial" w:hAnsi="Arial"/>
          <w:b/>
          <w:bCs/>
          <w:color w:val="2C3E50"/>
          <w:sz w:val="18"/>
          <w:szCs w:val="18"/>
        </w:rPr>
        <w:t xml:space="preserve">Non-destructive quarantine. </w:t>
      </w:r>
      <w:r>
        <w:rPr>
          <w:rFonts w:ascii="Arial" w:cs="Arial" w:eastAsia="Arial" w:hAnsi="Arial"/>
          <w:color w:val="2C3E50"/>
          <w:sz w:val="18"/>
          <w:szCs w:val="18"/>
        </w:rPr>
        <w:t xml:space="preserve">Folder renamed (.quarantine). OpenClaw only loads exact folder names.</w:t>
      </w:r>
    </w:p>
    <w:p>
      <w:pPr>
        <w:pStyle w:val="ListParagraph"/>
        <w:numPr>
          <w:ilvl w:val="0"/>
          <w:numId w:val="2"/>
        </w:numPr>
        <w:spacing w:after="35"/>
      </w:pPr>
      <w:r>
        <w:rPr>
          <w:rFonts w:ascii="Arial" w:cs="Arial" w:eastAsia="Arial" w:hAnsi="Arial"/>
          <w:b/>
          <w:bCs/>
          <w:color w:val="2C3E50"/>
          <w:sz w:val="18"/>
          <w:szCs w:val="18"/>
        </w:rPr>
        <w:t xml:space="preserve">Pre-built sandbox image. </w:t>
      </w:r>
      <w:r>
        <w:rPr>
          <w:rFonts w:ascii="Arial" w:cs="Arial" w:eastAsia="Arial" w:hAnsi="Arial"/>
          <w:color w:val="2C3E50"/>
          <w:sz w:val="18"/>
          <w:szCs w:val="18"/>
        </w:rPr>
        <w:t xml:space="preserve">~200MB, cached, destroyed after each run. Rootless Podman supported.</w:t>
      </w:r>
    </w:p>
    <w:p>
      <w:pPr>
        <w:pStyle w:val="ListParagraph"/>
        <w:numPr>
          <w:ilvl w:val="0"/>
          <w:numId w:val="2"/>
        </w:numPr>
        <w:spacing w:after="35"/>
      </w:pPr>
      <w:r>
        <w:rPr>
          <w:rFonts w:ascii="Arial" w:cs="Arial" w:eastAsia="Arial" w:hAnsi="Arial"/>
          <w:b/>
          <w:bCs/>
          <w:color w:val="2C3E50"/>
          <w:sz w:val="18"/>
          <w:szCs w:val="18"/>
        </w:rPr>
        <w:t xml:space="preserve">TypeScript throughout. </w:t>
      </w:r>
      <w:r>
        <w:rPr>
          <w:rFonts w:ascii="Arial" w:cs="Arial" w:eastAsia="Arial" w:hAnsi="Arial"/>
          <w:color w:val="2C3E50"/>
          <w:sz w:val="18"/>
          <w:szCs w:val="18"/>
        </w:rPr>
        <w:t xml:space="preserve">Imports clawhub-schema directly. Same contributor ecosystem. I/O-bound workload.</w:t>
      </w:r>
    </w:p>
    <w:p>
      <w:pPr>
        <w:pStyle w:val="ListParagraph"/>
        <w:numPr>
          <w:ilvl w:val="0"/>
          <w:numId w:val="2"/>
        </w:numPr>
        <w:spacing w:after="35"/>
      </w:pPr>
      <w:r>
        <w:rPr>
          <w:rFonts w:ascii="Arial" w:cs="Arial" w:eastAsia="Arial" w:hAnsi="Arial"/>
          <w:b/>
          <w:bCs/>
          <w:color w:val="2C3E50"/>
          <w:sz w:val="18"/>
          <w:szCs w:val="18"/>
        </w:rPr>
        <w:t xml:space="preserve">Static analysis works without Docker. </w:t>
      </w:r>
      <w:r>
        <w:rPr>
          <w:rFonts w:ascii="Arial" w:cs="Arial" w:eastAsia="Arial" w:hAnsi="Arial"/>
          <w:color w:val="2C3E50"/>
          <w:sz w:val="18"/>
          <w:szCs w:val="18"/>
        </w:rPr>
        <w:t xml:space="preserve">Detonation is optional deep-scan. Tool remains useful on machines without container runtimes.</w:t>
      </w:r>
    </w:p>
    <w:p>
      <w:pPr>
        <w:shd w:fill="1A5276" w:val="clear"/>
        <w:spacing w:after="100" w:before="220"/>
        <w:ind w:left="80" w:right="80"/>
      </w:pPr>
      <w:r>
        <w:rPr>
          <w:rFonts w:ascii="Arial" w:cs="Arial" w:eastAsia="Arial" w:hAnsi="Arial"/>
          <w:b/>
          <w:bCs/>
          <w:color w:val="FFFFFF"/>
          <w:sz w:val="21"/>
          <w:szCs w:val="21"/>
        </w:rPr>
        <w:t xml:space="preserve">DEFENCE-IN-DEPTH POSITIONING</w:t>
      </w:r>
    </w:p>
    <w:p>
      <w:pPr>
        <w:shd w:fill="FEF9E7" w:val="clear"/>
        <w:spacing w:after="60" w:before="60"/>
        <w:ind w:left="80" w:right="80"/>
      </w:pPr>
      <w:r>
        <w:rPr>
          <w:rFonts w:ascii="Arial" w:cs="Arial" w:eastAsia="Arial" w:hAnsi="Arial"/>
          <w:b/>
          <w:bCs/>
          <w:color w:val="B7950B"/>
          <w:sz w:val="17"/>
          <w:szCs w:val="17"/>
        </w:rPr>
        <w:t xml:space="preserve">▶ AMENDED: </w:t>
      </w:r>
      <w:r>
        <w:rPr>
          <w:rFonts w:ascii="Arial" w:cs="Arial" w:eastAsia="Arial" w:hAnsi="Arial"/>
          <w:i/>
          <w:iCs/>
          <w:color w:val="B7950B"/>
          <w:sz w:val="17"/>
          <w:szCs w:val="17"/>
        </w:rPr>
        <w:t xml:space="preserve">ClawGuard is one layer in a stack. Sandbox detonation is risk-reduction, not proof of safety. OpenClaw calls their own sandboxing “not a perfect boundary”; Snyk has published bypass research. We inherit this caveat and must be honest about it in docs.</w:t>
      </w:r>
    </w:p>
    <w:p>
      <w:pPr>
        <w:spacing w:after="40" w:before="0"/>
        <w:jc w:val="left"/>
      </w:pPr>
      <w:r>
        <w:rPr>
          <w:rFonts w:ascii="Arial" w:cs="Arial" w:eastAsia="Arial" w:hAnsi="Arial"/>
          <w:color w:val="2C3E50"/>
          <w:sz w:val="18"/>
          <w:szCs w:val="18"/>
        </w:rPr>
        <w:t xml:space="preserve">Recommended full-stack posture for an OpenClaw deployment: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640"/>
        <w:gridCol w:w="2640"/>
      </w:tblGrid>
      <w:tr>
        <w:tc>
          <w:tcPr>
            <w:tcW w:type="dxa" w:w="1800"/>
            <w:tcBorders>
              <w:top w:val="single" w:color="AED6F1" w:sz="1"/>
              <w:left w:val="single" w:color="AED6F1" w:sz="1"/>
              <w:bottom w:val="single" w:color="AED6F1" w:sz="1"/>
              <w:right w:val="single" w:color="AED6F1" w:sz="1"/>
            </w:tcBorders>
            <w:shd w:fill="1A5276" w:val="clear"/>
            <w:tcMar>
              <w:top w:type="dxa" w:w="50"/>
              <w:left w:type="dxa" w:w="100"/>
              <w:bottom w:type="dxa" w:w="50"/>
              <w:right w:type="dxa" w:w="100"/>
            </w:tcMar>
          </w:tcPr>
          <w:p>
            <w:pPr>
              <w:spacing w:after="15" w:before="15"/>
              <w:jc w:val="left"/>
            </w:pPr>
            <w:r>
              <w:rPr>
                <w:rFonts w:ascii="Arial" w:cs="Arial" w:eastAsia="Arial" w:hAnsi="Arial"/>
                <w:b/>
                <w:bCs/>
                <w:color w:val="FFFFFF"/>
                <w:sz w:val="16"/>
                <w:szCs w:val="16"/>
              </w:rPr>
              <w:t xml:space="preserve">Layer</w:t>
            </w:r>
          </w:p>
        </w:tc>
        <w:tc>
          <w:tcPr>
            <w:tcW w:type="dxa" w:w="3000"/>
            <w:tcBorders>
              <w:top w:val="single" w:color="AED6F1" w:sz="1"/>
              <w:left w:val="single" w:color="AED6F1" w:sz="1"/>
              <w:bottom w:val="single" w:color="AED6F1" w:sz="1"/>
              <w:right w:val="single" w:color="AED6F1" w:sz="1"/>
            </w:tcBorders>
            <w:shd w:fill="1A5276" w:val="clear"/>
            <w:tcMar>
              <w:top w:type="dxa" w:w="50"/>
              <w:left w:type="dxa" w:w="100"/>
              <w:bottom w:type="dxa" w:w="50"/>
              <w:right w:type="dxa" w:w="100"/>
            </w:tcMar>
          </w:tcPr>
          <w:p>
            <w:pPr>
              <w:spacing w:after="15" w:before="15"/>
              <w:jc w:val="left"/>
            </w:pPr>
            <w:r>
              <w:rPr>
                <w:rFonts w:ascii="Arial" w:cs="Arial" w:eastAsia="Arial" w:hAnsi="Arial"/>
                <w:b/>
                <w:bCs/>
                <w:color w:val="FFFFFF"/>
                <w:sz w:val="16"/>
                <w:szCs w:val="16"/>
              </w:rPr>
              <w:t xml:space="preserve">Tool</w:t>
            </w:r>
          </w:p>
        </w:tc>
        <w:tc>
          <w:tcPr>
            <w:tcW w:type="dxa" w:w="2640"/>
            <w:tcBorders>
              <w:top w:val="single" w:color="AED6F1" w:sz="1"/>
              <w:left w:val="single" w:color="AED6F1" w:sz="1"/>
              <w:bottom w:val="single" w:color="AED6F1" w:sz="1"/>
              <w:right w:val="single" w:color="AED6F1" w:sz="1"/>
            </w:tcBorders>
            <w:shd w:fill="1A5276" w:val="clear"/>
            <w:tcMar>
              <w:top w:type="dxa" w:w="50"/>
              <w:left w:type="dxa" w:w="100"/>
              <w:bottom w:type="dxa" w:w="50"/>
              <w:right w:type="dxa" w:w="100"/>
            </w:tcMar>
          </w:tcPr>
          <w:p>
            <w:pPr>
              <w:spacing w:after="15" w:before="15"/>
              <w:jc w:val="left"/>
            </w:pPr>
            <w:r>
              <w:rPr>
                <w:rFonts w:ascii="Arial" w:cs="Arial" w:eastAsia="Arial" w:hAnsi="Arial"/>
                <w:b/>
                <w:bCs/>
                <w:color w:val="FFFFFF"/>
                <w:sz w:val="16"/>
                <w:szCs w:val="16"/>
              </w:rPr>
              <w:t xml:space="preserve">Question answered</w:t>
            </w:r>
          </w:p>
        </w:tc>
        <w:tc>
          <w:tcPr>
            <w:tcW w:type="dxa" w:w="2640"/>
            <w:tcBorders>
              <w:top w:val="single" w:color="AED6F1" w:sz="1"/>
              <w:left w:val="single" w:color="AED6F1" w:sz="1"/>
              <w:bottom w:val="single" w:color="AED6F1" w:sz="1"/>
              <w:right w:val="single" w:color="AED6F1" w:sz="1"/>
            </w:tcBorders>
            <w:shd w:fill="1A5276" w:val="clear"/>
            <w:tcMar>
              <w:top w:type="dxa" w:w="50"/>
              <w:left w:type="dxa" w:w="100"/>
              <w:bottom w:type="dxa" w:w="50"/>
              <w:right w:type="dxa" w:w="100"/>
            </w:tcMar>
          </w:tcPr>
          <w:p>
            <w:pPr>
              <w:spacing w:after="15" w:before="15"/>
              <w:jc w:val="left"/>
            </w:pPr>
            <w:r>
              <w:rPr>
                <w:rFonts w:ascii="Arial" w:cs="Arial" w:eastAsia="Arial" w:hAnsi="Arial"/>
                <w:b/>
                <w:bCs/>
                <w:color w:val="FFFFFF"/>
                <w:sz w:val="16"/>
                <w:szCs w:val="16"/>
              </w:rPr>
              <w:t xml:space="preserve">Limitation</w:t>
            </w:r>
          </w:p>
        </w:tc>
      </w:tr>
      <w:tr>
        <w:tc>
          <w:tcPr>
            <w:tcW w:type="dxa" w:w="18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Marketplace</w:t>
            </w:r>
          </w:p>
        </w:tc>
        <w:tc>
          <w:tcPr>
            <w:tcW w:type="dxa" w:w="30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ClawHub + VirusTotal</w:t>
            </w:r>
          </w:p>
        </w:tc>
        <w:tc>
          <w:tcPr>
            <w:tcW w:type="dxa" w:w="264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Is this skill known-bad?</w:t>
            </w:r>
          </w:p>
        </w:tc>
        <w:tc>
          <w:tcPr>
            <w:tcW w:type="dxa" w:w="264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Misses novel threats + workflow malware</w:t>
            </w:r>
          </w:p>
        </w:tc>
      </w:tr>
      <w:tr>
        <w:tc>
          <w:tcPr>
            <w:tcW w:type="dxa" w:w="1800"/>
            <w:tcBorders>
              <w:top w:val="single" w:color="AED6F1" w:sz="1"/>
              <w:left w:val="single" w:color="AED6F1" w:sz="1"/>
              <w:bottom w:val="single" w:color="AED6F1" w:sz="1"/>
              <w:right w:val="single" w:color="AED6F1" w:sz="1"/>
            </w:tcBorders>
            <w:shd w:fill="FEF9E7" w:val="clear"/>
            <w:tcMar>
              <w:top w:type="dxa" w:w="50"/>
              <w:left w:type="dxa" w:w="100"/>
              <w:bottom w:type="dxa" w:w="50"/>
              <w:right w:type="dxa" w:w="100"/>
            </w:tcMar>
          </w:tcPr>
          <w:p>
            <w:pPr>
              <w:spacing w:after="15" w:before="15"/>
              <w:jc w:val="left"/>
            </w:pPr>
            <w:r>
              <w:rPr>
                <w:rFonts w:ascii="Arial" w:cs="Arial" w:eastAsia="Arial" w:hAnsi="Arial"/>
                <w:b/>
                <w:bCs/>
                <w:color w:val="B7950B"/>
                <w:sz w:val="16"/>
                <w:szCs w:val="16"/>
              </w:rPr>
              <w:t xml:space="preserve">Pre-install</w:t>
            </w:r>
          </w:p>
        </w:tc>
        <w:tc>
          <w:tcPr>
            <w:tcW w:type="dxa" w:w="3000"/>
            <w:tcBorders>
              <w:top w:val="single" w:color="AED6F1" w:sz="1"/>
              <w:left w:val="single" w:color="AED6F1" w:sz="1"/>
              <w:bottom w:val="single" w:color="AED6F1" w:sz="1"/>
              <w:right w:val="single" w:color="AED6F1" w:sz="1"/>
            </w:tcBorders>
            <w:shd w:fill="FEF9E7" w:val="clear"/>
            <w:tcMar>
              <w:top w:type="dxa" w:w="50"/>
              <w:left w:type="dxa" w:w="100"/>
              <w:bottom w:type="dxa" w:w="50"/>
              <w:right w:type="dxa" w:w="100"/>
            </w:tcMar>
          </w:tcPr>
          <w:p>
            <w:pPr>
              <w:spacing w:after="8" w:before="8"/>
            </w:pPr>
            <w:r>
              <w:rPr>
                <w:rFonts w:ascii="Arial" w:cs="Arial" w:eastAsia="Arial" w:hAnsi="Arial"/>
                <w:b/>
                <w:bCs/>
                <w:color w:val="B7950B"/>
                <w:sz w:val="16"/>
                <w:szCs w:val="16"/>
              </w:rPr>
              <w:t xml:space="preserve">ClawGuard (ours)</w:t>
            </w:r>
          </w:p>
        </w:tc>
        <w:tc>
          <w:tcPr>
            <w:tcW w:type="dxa" w:w="2640"/>
            <w:tcBorders>
              <w:top w:val="single" w:color="AED6F1" w:sz="1"/>
              <w:left w:val="single" w:color="AED6F1" w:sz="1"/>
              <w:bottom w:val="single" w:color="AED6F1" w:sz="1"/>
              <w:right w:val="single" w:color="AED6F1" w:sz="1"/>
            </w:tcBorders>
            <w:shd w:fill="FEF9E7" w:val="clear"/>
            <w:tcMar>
              <w:top w:type="dxa" w:w="50"/>
              <w:left w:type="dxa" w:w="100"/>
              <w:bottom w:type="dxa" w:w="50"/>
              <w:right w:type="dxa" w:w="100"/>
            </w:tcMar>
          </w:tcPr>
          <w:p>
            <w:pPr>
              <w:spacing w:after="8" w:before="8"/>
            </w:pPr>
            <w:r>
              <w:rPr>
                <w:rFonts w:ascii="Arial" w:cs="Arial" w:eastAsia="Arial" w:hAnsi="Arial"/>
                <w:b/>
                <w:bCs/>
                <w:color w:val="B7950B"/>
                <w:sz w:val="16"/>
                <w:szCs w:val="16"/>
              </w:rPr>
              <w:t xml:space="preserve">Should this skill be present?</w:t>
            </w:r>
          </w:p>
        </w:tc>
        <w:tc>
          <w:tcPr>
            <w:tcW w:type="dxa" w:w="2640"/>
            <w:tcBorders>
              <w:top w:val="single" w:color="AED6F1" w:sz="1"/>
              <w:left w:val="single" w:color="AED6F1" w:sz="1"/>
              <w:bottom w:val="single" w:color="AED6F1" w:sz="1"/>
              <w:right w:val="single" w:color="AED6F1" w:sz="1"/>
            </w:tcBorders>
            <w:shd w:fill="FEF9E7" w:val="clear"/>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Sandbox detection; delayed payloads; not proof of safety</w:t>
            </w:r>
          </w:p>
        </w:tc>
      </w:tr>
      <w:tr>
        <w:tc>
          <w:tcPr>
            <w:tcW w:type="dxa" w:w="18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Runtime</w:t>
            </w:r>
          </w:p>
        </w:tc>
        <w:tc>
          <w:tcPr>
            <w:tcW w:type="dxa" w:w="30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APort Guardrails / OC sandbox</w:t>
            </w:r>
          </w:p>
        </w:tc>
        <w:tc>
          <w:tcPr>
            <w:tcW w:type="dxa" w:w="264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Should this tool call run now?</w:t>
            </w:r>
          </w:p>
        </w:tc>
        <w:tc>
          <w:tcPr>
            <w:tcW w:type="dxa" w:w="264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Cannot stop social engineering outside tool hooks</w:t>
            </w:r>
          </w:p>
        </w:tc>
      </w:tr>
      <w:tr>
        <w:tc>
          <w:tcPr>
            <w:tcW w:type="dxa" w:w="18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Post-install</w:t>
            </w:r>
          </w:p>
        </w:tc>
        <w:tc>
          <w:tcPr>
            <w:tcW w:type="dxa" w:w="30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SecureClaw / ClawSec</w:t>
            </w:r>
          </w:p>
        </w:tc>
        <w:tc>
          <w:tcPr>
            <w:tcW w:type="dxa" w:w="264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Has anything drifted?</w:t>
            </w:r>
          </w:p>
        </w:tc>
        <w:tc>
          <w:tcPr>
            <w:tcW w:type="dxa" w:w="264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Reactive; does not prevent initial compromise</w:t>
            </w:r>
          </w:p>
        </w:tc>
      </w:tr>
    </w:tbl>
    <w:p>
      <w:pPr>
        <w:shd w:fill="1A5276" w:val="clear"/>
        <w:spacing w:after="100" w:before="220"/>
        <w:ind w:left="80" w:right="80"/>
      </w:pPr>
      <w:r>
        <w:rPr>
          <w:rFonts w:ascii="Arial" w:cs="Arial" w:eastAsia="Arial" w:hAnsi="Arial"/>
          <w:b/>
          <w:bCs/>
          <w:color w:val="FFFFFF"/>
          <w:sz w:val="21"/>
          <w:szCs w:val="21"/>
        </w:rPr>
        <w:t xml:space="preserve">SUCCESS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40"/>
        <w:gridCol w:w="4440"/>
      </w:tblGrid>
      <w:tr>
        <w:tc>
          <w:tcPr>
            <w:tcW w:type="dxa" w:w="2400"/>
            <w:tcBorders>
              <w:top w:val="single" w:color="AED6F1" w:sz="1"/>
              <w:left w:val="single" w:color="AED6F1" w:sz="1"/>
              <w:bottom w:val="single" w:color="AED6F1" w:sz="1"/>
              <w:right w:val="single" w:color="AED6F1" w:sz="1"/>
            </w:tcBorders>
            <w:shd w:fill="1A5276" w:val="clear"/>
            <w:tcMar>
              <w:top w:type="dxa" w:w="50"/>
              <w:left w:type="dxa" w:w="100"/>
              <w:bottom w:type="dxa" w:w="50"/>
              <w:right w:type="dxa" w:w="100"/>
            </w:tcMar>
          </w:tcPr>
          <w:p>
            <w:pPr>
              <w:spacing w:after="15" w:before="15"/>
              <w:jc w:val="left"/>
            </w:pPr>
            <w:r>
              <w:rPr>
                <w:rFonts w:ascii="Arial" w:cs="Arial" w:eastAsia="Arial" w:hAnsi="Arial"/>
                <w:b/>
                <w:bCs/>
                <w:color w:val="FFFFFF"/>
                <w:sz w:val="16"/>
                <w:szCs w:val="16"/>
              </w:rPr>
              <w:t xml:space="preserve">Metric</w:t>
            </w:r>
          </w:p>
        </w:tc>
        <w:tc>
          <w:tcPr>
            <w:tcW w:type="dxa" w:w="3240"/>
            <w:tcBorders>
              <w:top w:val="single" w:color="AED6F1" w:sz="1"/>
              <w:left w:val="single" w:color="AED6F1" w:sz="1"/>
              <w:bottom w:val="single" w:color="AED6F1" w:sz="1"/>
              <w:right w:val="single" w:color="AED6F1" w:sz="1"/>
            </w:tcBorders>
            <w:shd w:fill="1A5276" w:val="clear"/>
            <w:tcMar>
              <w:top w:type="dxa" w:w="50"/>
              <w:left w:type="dxa" w:w="100"/>
              <w:bottom w:type="dxa" w:w="50"/>
              <w:right w:type="dxa" w:w="100"/>
            </w:tcMar>
          </w:tcPr>
          <w:p>
            <w:pPr>
              <w:spacing w:after="15" w:before="15"/>
              <w:jc w:val="left"/>
            </w:pPr>
            <w:r>
              <w:rPr>
                <w:rFonts w:ascii="Arial" w:cs="Arial" w:eastAsia="Arial" w:hAnsi="Arial"/>
                <w:b/>
                <w:bCs/>
                <w:color w:val="FFFFFF"/>
                <w:sz w:val="16"/>
                <w:szCs w:val="16"/>
              </w:rPr>
              <w:t xml:space="preserve">Target</w:t>
            </w:r>
          </w:p>
        </w:tc>
        <w:tc>
          <w:tcPr>
            <w:tcW w:type="dxa" w:w="4440"/>
            <w:tcBorders>
              <w:top w:val="single" w:color="AED6F1" w:sz="1"/>
              <w:left w:val="single" w:color="AED6F1" w:sz="1"/>
              <w:bottom w:val="single" w:color="AED6F1" w:sz="1"/>
              <w:right w:val="single" w:color="AED6F1" w:sz="1"/>
            </w:tcBorders>
            <w:shd w:fill="1A5276" w:val="clear"/>
            <w:tcMar>
              <w:top w:type="dxa" w:w="50"/>
              <w:left w:type="dxa" w:w="100"/>
              <w:bottom w:type="dxa" w:w="50"/>
              <w:right w:type="dxa" w:w="100"/>
            </w:tcMar>
          </w:tcPr>
          <w:p>
            <w:pPr>
              <w:spacing w:after="15" w:before="15"/>
              <w:jc w:val="left"/>
            </w:pPr>
            <w:r>
              <w:rPr>
                <w:rFonts w:ascii="Arial" w:cs="Arial" w:eastAsia="Arial" w:hAnsi="Arial"/>
                <w:b/>
                <w:bCs/>
                <w:color w:val="FFFFFF"/>
                <w:sz w:val="16"/>
                <w:szCs w:val="16"/>
              </w:rPr>
              <w:t xml:space="preserve">Why it matters</w:t>
            </w:r>
          </w:p>
        </w:tc>
      </w:tr>
      <w:tr>
        <w:tc>
          <w:tcPr>
            <w:tcW w:type="dxa" w:w="24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Detection rate (static)</w:t>
            </w:r>
          </w:p>
        </w:tc>
        <w:tc>
          <w:tcPr>
            <w:tcW w:type="dxa" w:w="324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≥95% of known ClawHavoc IOCs</w:t>
            </w:r>
          </w:p>
        </w:tc>
        <w:tc>
          <w:tcPr>
            <w:tcW w:type="dxa" w:w="444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Validates rule set against real-world campaign</w:t>
            </w:r>
          </w:p>
        </w:tc>
      </w:tr>
      <w:tr>
        <w:tc>
          <w:tcPr>
            <w:tcW w:type="dxa" w:w="2400"/>
            <w:tcBorders>
              <w:top w:val="single" w:color="AED6F1" w:sz="1"/>
              <w:left w:val="single" w:color="AED6F1" w:sz="1"/>
              <w:bottom w:val="single" w:color="AED6F1" w:sz="1"/>
              <w:right w:val="single" w:color="AED6F1" w:sz="1"/>
            </w:tcBorders>
            <w:shd w:fill="FEF9E7" w:val="clear"/>
            <w:tcMar>
              <w:top w:type="dxa" w:w="50"/>
              <w:left w:type="dxa" w:w="100"/>
              <w:bottom w:type="dxa" w:w="50"/>
              <w:right w:type="dxa" w:w="100"/>
            </w:tcMar>
          </w:tcPr>
          <w:p>
            <w:pPr>
              <w:spacing w:after="8" w:before="8"/>
            </w:pPr>
            <w:r>
              <w:rPr>
                <w:rFonts w:ascii="Arial" w:cs="Arial" w:eastAsia="Arial" w:hAnsi="Arial"/>
                <w:b/>
                <w:bCs/>
                <w:color w:val="B7950B"/>
                <w:sz w:val="16"/>
                <w:szCs w:val="16"/>
              </w:rPr>
              <w:t xml:space="preserve">Workflow malware detection</w:t>
            </w:r>
            <w:r>
              <w:rPr>
                <w:rFonts w:ascii="Arial" w:cs="Arial" w:eastAsia="Arial" w:hAnsi="Arial"/>
                <w:b/>
                <w:bCs/>
                <w:color w:val="B7950B"/>
                <w:sz w:val="13"/>
                <w:szCs w:val="13"/>
              </w:rPr>
              <w:t xml:space="preserve"> NEW</w:t>
            </w:r>
          </w:p>
        </w:tc>
        <w:tc>
          <w:tcPr>
            <w:tcW w:type="dxa" w:w="3240"/>
            <w:tcBorders>
              <w:top w:val="single" w:color="AED6F1" w:sz="1"/>
              <w:left w:val="single" w:color="AED6F1" w:sz="1"/>
              <w:bottom w:val="single" w:color="AED6F1" w:sz="1"/>
              <w:right w:val="single" w:color="AED6F1" w:sz="1"/>
            </w:tcBorders>
            <w:shd w:fill="FEF9E7" w:val="clear"/>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≥70% of staged-download skills caught by detonation</w:t>
            </w:r>
          </w:p>
        </w:tc>
        <w:tc>
          <w:tcPr>
            <w:tcW w:type="dxa" w:w="4440"/>
            <w:tcBorders>
              <w:top w:val="single" w:color="AED6F1" w:sz="1"/>
              <w:left w:val="single" w:color="AED6F1" w:sz="1"/>
              <w:bottom w:val="single" w:color="AED6F1" w:sz="1"/>
              <w:right w:val="single" w:color="AED6F1" w:sz="1"/>
            </w:tcBorders>
            <w:shd w:fill="FEF9E7" w:val="clear"/>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Core differentiator: behavioral detection of “clean bundle, malicious workflow” attacks that bypass all static tools</w:t>
            </w:r>
          </w:p>
        </w:tc>
      </w:tr>
      <w:tr>
        <w:tc>
          <w:tcPr>
            <w:tcW w:type="dxa" w:w="24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False positive rate</w:t>
            </w:r>
          </w:p>
        </w:tc>
        <w:tc>
          <w:tcPr>
            <w:tcW w:type="dxa" w:w="324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&lt;5% of top-100 ClawHub skills</w:t>
            </w:r>
          </w:p>
        </w:tc>
        <w:tc>
          <w:tcPr>
            <w:tcW w:type="dxa" w:w="444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High FP kills adoption. Documented problem at ClawHub level too.</w:t>
            </w:r>
          </w:p>
        </w:tc>
      </w:tr>
      <w:tr>
        <w:tc>
          <w:tcPr>
            <w:tcW w:type="dxa" w:w="24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Static scan latency</w:t>
            </w:r>
          </w:p>
        </w:tc>
        <w:tc>
          <w:tcPr>
            <w:tcW w:type="dxa" w:w="324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&lt;2 sec (incl. hash lookup)</w:t>
            </w:r>
          </w:p>
        </w:tc>
        <w:tc>
          <w:tcPr>
            <w:tcW w:type="dxa" w:w="444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Install flow must feel instant</w:t>
            </w:r>
          </w:p>
        </w:tc>
      </w:tr>
      <w:tr>
        <w:tc>
          <w:tcPr>
            <w:tcW w:type="dxa" w:w="24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Detonation latency</w:t>
            </w:r>
          </w:p>
        </w:tc>
        <w:tc>
          <w:tcPr>
            <w:tcW w:type="dxa" w:w="324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&lt;90 sec end-to-end</w:t>
            </w:r>
          </w:p>
        </w:tc>
        <w:tc>
          <w:tcPr>
            <w:tcW w:type="dxa" w:w="444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“Grab a coffee” not “go to lunch”</w:t>
            </w:r>
          </w:p>
        </w:tc>
      </w:tr>
      <w:tr>
        <w:tc>
          <w:tcPr>
            <w:tcW w:type="dxa" w:w="24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Sandbox escape</w:t>
            </w:r>
          </w:p>
        </w:tc>
        <w:tc>
          <w:tcPr>
            <w:tcW w:type="dxa" w:w="324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0 observed escapes</w:t>
            </w:r>
          </w:p>
        </w:tc>
        <w:tc>
          <w:tcPr>
            <w:tcW w:type="dxa" w:w="444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Exploitable auditor = destroyed credibility</w:t>
            </w:r>
          </w:p>
        </w:tc>
      </w:tr>
      <w:tr>
        <w:tc>
          <w:tcPr>
            <w:tcW w:type="dxa" w:w="24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Adoption</w:t>
            </w:r>
          </w:p>
        </w:tc>
        <w:tc>
          <w:tcPr>
            <w:tcW w:type="dxa" w:w="324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500+ stars month 1; OC docs/Discord</w:t>
            </w:r>
          </w:p>
        </w:tc>
        <w:tc>
          <w:tcPr>
            <w:tcW w:type="dxa" w:w="444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Path to upstream integration</w:t>
            </w:r>
          </w:p>
        </w:tc>
      </w:tr>
    </w:tbl>
    <w:p>
      <w:pPr>
        <w:shd w:fill="1A5276" w:val="clear"/>
        <w:spacing w:after="100" w:before="220"/>
        <w:ind w:left="80" w:right="80"/>
      </w:pPr>
      <w:r>
        <w:rPr>
          <w:rFonts w:ascii="Arial" w:cs="Arial" w:eastAsia="Arial" w:hAnsi="Arial"/>
          <w:b/>
          <w:bCs/>
          <w:color w:val="FFFFFF"/>
          <w:sz w:val="21"/>
          <w:szCs w:val="21"/>
        </w:rPr>
        <w:t xml:space="preserve">CRITICAL SUCCESS FACTORS</w:t>
      </w:r>
    </w:p>
    <w:p>
      <w:pPr>
        <w:pStyle w:val="ListParagraph"/>
        <w:numPr>
          <w:ilvl w:val="0"/>
          <w:numId w:val="2"/>
        </w:numPr>
        <w:spacing w:after="35"/>
      </w:pPr>
      <w:r>
        <w:rPr>
          <w:rFonts w:ascii="Arial" w:cs="Arial" w:eastAsia="Arial" w:hAnsi="Arial"/>
          <w:b/>
          <w:bCs/>
          <w:color w:val="2C3E50"/>
          <w:sz w:val="18"/>
          <w:szCs w:val="18"/>
        </w:rPr>
        <w:t xml:space="preserve">Rule set accuracy. </w:t>
      </w:r>
      <w:r>
        <w:rPr>
          <w:rFonts w:ascii="Arial" w:cs="Arial" w:eastAsia="Arial" w:hAnsi="Arial"/>
          <w:color w:val="2C3E50"/>
          <w:sz w:val="18"/>
          <w:szCs w:val="18"/>
        </w:rPr>
        <w:t xml:space="preserve">Train against actual ClawHavoc IOCs and real malicious skills from openclaw/skills archive. Bad rules = high FP = users uninstall.</w:t>
      </w:r>
    </w:p>
    <w:p>
      <w:pPr>
        <w:pStyle w:val="ListParagraph"/>
        <w:numPr>
          <w:ilvl w:val="0"/>
          <w:numId w:val="2"/>
        </w:numPr>
        <w:spacing w:after="35"/>
      </w:pPr>
      <w:r>
        <w:rPr>
          <w:rFonts w:ascii="Arial" w:cs="Arial" w:eastAsia="Arial" w:hAnsi="Arial"/>
          <w:b/>
          <w:bCs/>
          <w:color w:val="2C3E50"/>
          <w:sz w:val="18"/>
          <w:szCs w:val="18"/>
        </w:rPr>
        <w:t xml:space="preserve">Staged-download detection in both phases. </w:t>
      </w:r>
      <w:r>
        <w:rPr>
          <w:rFonts w:ascii="Arial" w:cs="Arial" w:eastAsia="Arial" w:hAnsi="Arial"/>
          <w:color w:val="2C3E50"/>
          <w:sz w:val="18"/>
          <w:szCs w:val="18"/>
        </w:rPr>
        <w:t xml:space="preserve">Static scan flags suspicious fetch/install instructions. Detonation follows them and observes outcomes. This is the differentiator.</w:t>
      </w:r>
    </w:p>
    <w:p>
      <w:pPr>
        <w:pStyle w:val="ListParagraph"/>
        <w:numPr>
          <w:ilvl w:val="0"/>
          <w:numId w:val="2"/>
        </w:numPr>
        <w:spacing w:after="35"/>
      </w:pPr>
      <w:r>
        <w:rPr>
          <w:rFonts w:ascii="Arial" w:cs="Arial" w:eastAsia="Arial" w:hAnsi="Arial"/>
          <w:b/>
          <w:bCs/>
          <w:color w:val="2C3E50"/>
          <w:sz w:val="18"/>
          <w:szCs w:val="18"/>
        </w:rPr>
        <w:t xml:space="preserve">Honeypot fidelity. </w:t>
      </w:r>
      <w:r>
        <w:rPr>
          <w:rFonts w:ascii="Arial" w:cs="Arial" w:eastAsia="Arial" w:hAnsi="Arial"/>
          <w:color w:val="2C3E50"/>
          <w:sz w:val="18"/>
          <w:szCs w:val="18"/>
        </w:rPr>
        <w:t xml:space="preserve">Sandbox must look real enough that malware triggers. Fake credentials must be realistic. Sophistication increases over time.</w:t>
      </w:r>
    </w:p>
    <w:p>
      <w:pPr>
        <w:pStyle w:val="ListParagraph"/>
        <w:numPr>
          <w:ilvl w:val="0"/>
          <w:numId w:val="2"/>
        </w:numPr>
        <w:spacing w:after="35"/>
      </w:pPr>
      <w:r>
        <w:rPr>
          <w:rFonts w:ascii="Arial" w:cs="Arial" w:eastAsia="Arial" w:hAnsi="Arial"/>
          <w:b/>
          <w:bCs/>
          <w:color w:val="2C3E50"/>
          <w:sz w:val="18"/>
          <w:szCs w:val="18"/>
        </w:rPr>
        <w:t xml:space="preserve">Zero friction install. </w:t>
      </w:r>
      <w:r>
        <w:rPr>
          <w:rFonts w:ascii="Arial" w:cs="Arial" w:eastAsia="Arial" w:hAnsi="Arial"/>
          <w:color w:val="2C3E50"/>
          <w:sz w:val="18"/>
          <w:szCs w:val="18"/>
        </w:rPr>
        <w:t xml:space="preserve">npm install -g clawguard auto-detects workspace, sets up watcher, pulls Docker image. Manual config = adoption collapse.</w:t>
      </w:r>
    </w:p>
    <w:p>
      <w:pPr>
        <w:pStyle w:val="ListParagraph"/>
        <w:numPr>
          <w:ilvl w:val="0"/>
          <w:numId w:val="2"/>
        </w:numPr>
        <w:spacing w:after="35"/>
      </w:pPr>
      <w:r>
        <w:rPr>
          <w:rFonts w:ascii="Arial" w:cs="Arial" w:eastAsia="Arial" w:hAnsi="Arial"/>
          <w:b/>
          <w:bCs/>
          <w:color w:val="2C3E50"/>
          <w:sz w:val="18"/>
          <w:szCs w:val="18"/>
        </w:rPr>
        <w:t xml:space="preserve">Report readability. </w:t>
      </w:r>
      <w:r>
        <w:rPr>
          <w:rFonts w:ascii="Arial" w:cs="Arial" w:eastAsia="Arial" w:hAnsi="Arial"/>
          <w:color w:val="2C3E50"/>
          <w:sz w:val="18"/>
          <w:szCs w:val="18"/>
        </w:rPr>
        <w:t xml:space="preserve">Plain language for developers, not CWE jargon for SOC analysts.</w:t>
      </w:r>
    </w:p>
    <w:p>
      <w:pPr>
        <w:pStyle w:val="ListParagraph"/>
        <w:numPr>
          <w:ilvl w:val="0"/>
          <w:numId w:val="2"/>
        </w:numPr>
        <w:spacing w:after="35"/>
      </w:pPr>
      <w:r>
        <w:rPr>
          <w:rFonts w:ascii="Arial" w:cs="Arial" w:eastAsia="Arial" w:hAnsi="Arial"/>
          <w:b/>
          <w:bCs/>
          <w:color w:val="2C3E50"/>
          <w:sz w:val="18"/>
          <w:szCs w:val="18"/>
        </w:rPr>
        <w:t xml:space="preserve">Upstream relationship. </w:t>
      </w:r>
      <w:r>
        <w:rPr>
          <w:rFonts w:ascii="Arial" w:cs="Arial" w:eastAsia="Arial" w:hAnsi="Arial"/>
          <w:color w:val="2C3E50"/>
          <w:sz w:val="18"/>
          <w:szCs w:val="18"/>
        </w:rPr>
        <w:t xml:space="preserve">Engage OpenClaw Security &amp; Trust lead early. Goal: bundled or recommended tool.</w:t>
      </w:r>
    </w:p>
    <w:p>
      <w:pPr>
        <w:pStyle w:val="ListParagraph"/>
        <w:numPr>
          <w:ilvl w:val="0"/>
          <w:numId w:val="2"/>
        </w:numPr>
        <w:spacing w:after="35"/>
      </w:pPr>
      <w:r>
        <w:rPr>
          <w:rFonts w:ascii="Arial" w:cs="Arial" w:eastAsia="Arial" w:hAnsi="Arial"/>
          <w:b/>
          <w:bCs/>
          <w:color w:val="2C3E50"/>
          <w:sz w:val="18"/>
          <w:szCs w:val="18"/>
        </w:rPr>
        <w:t xml:space="preserve">Ecosystem interop. </w:t>
      </w:r>
      <w:r>
        <w:rPr>
          <w:rFonts w:ascii="Arial" w:cs="Arial" w:eastAsia="Arial" w:hAnsi="Arial"/>
          <w:color w:val="2C3E50"/>
          <w:sz w:val="18"/>
          <w:szCs w:val="18"/>
        </w:rPr>
        <w:t xml:space="preserve">Ingest ClawHub/VT verdicts. Don’t compete with marketplace scanning or runtime guardrails. Position as the missing pre-install layer.</w:t>
      </w:r>
    </w:p>
    <w:p>
      <w:pPr>
        <w:shd w:fill="1A5276" w:val="clear"/>
        <w:spacing w:after="100" w:before="220"/>
        <w:ind w:left="80" w:right="80"/>
      </w:pPr>
      <w:r>
        <w:rPr>
          <w:rFonts w:ascii="Arial" w:cs="Arial" w:eastAsia="Arial" w:hAnsi="Arial"/>
          <w:b/>
          <w:bCs/>
          <w:color w:val="FFFFFF"/>
          <w:sz w:val="21"/>
          <w:szCs w:val="21"/>
        </w:rPr>
        <w:t xml:space="preserve">KEY RISKS</w:t>
      </w:r>
    </w:p>
    <w:p>
      <w:pPr>
        <w:pStyle w:val="ListParagraph"/>
        <w:numPr>
          <w:ilvl w:val="0"/>
          <w:numId w:val="2"/>
        </w:numPr>
        <w:spacing w:after="35"/>
      </w:pPr>
      <w:r>
        <w:rPr>
          <w:rFonts w:ascii="Arial" w:cs="Arial" w:eastAsia="Arial" w:hAnsi="Arial"/>
          <w:b/>
          <w:bCs/>
          <w:color w:val="2C3E50"/>
          <w:sz w:val="18"/>
          <w:szCs w:val="18"/>
        </w:rPr>
        <w:t xml:space="preserve">Sandbox detection. </w:t>
      </w:r>
      <w:r>
        <w:rPr>
          <w:rFonts w:ascii="Arial" w:cs="Arial" w:eastAsia="Arial" w:hAnsi="Arial"/>
          <w:color w:val="2C3E50"/>
          <w:sz w:val="18"/>
          <w:szCs w:val="18"/>
        </w:rPr>
        <w:t xml:space="preserve">Malware may fingerprint Docker and suppress payload. Mitigation: realistic honeypots, jitter, repeated prompts.</w:t>
      </w:r>
    </w:p>
    <w:p>
      <w:pPr>
        <w:pStyle w:val="ListParagraph"/>
        <w:numPr>
          <w:ilvl w:val="0"/>
          <w:numId w:val="2"/>
        </w:numPr>
        <w:spacing w:after="35"/>
      </w:pPr>
      <w:r>
        <w:rPr>
          <w:rFonts w:ascii="Arial" w:cs="Arial" w:eastAsia="Arial" w:hAnsi="Arial"/>
          <w:b/>
          <w:bCs/>
          <w:color w:val="2C3E50"/>
          <w:sz w:val="18"/>
          <w:szCs w:val="18"/>
        </w:rPr>
        <w:t xml:space="preserve">Container boundaries are imperfect. </w:t>
      </w:r>
      <w:r>
        <w:rPr>
          <w:rFonts w:ascii="Arial" w:cs="Arial" w:eastAsia="Arial" w:hAnsi="Arial"/>
          <w:color w:val="2C3E50"/>
          <w:sz w:val="18"/>
          <w:szCs w:val="18"/>
        </w:rPr>
        <w:t xml:space="preserve">OpenClaw calls own sandboxing “not perfect.” Snyk has published bypass research. Detonation is risk-reduction, not proof of safety. Docs must be honest.</w:t>
      </w:r>
    </w:p>
    <w:p>
      <w:pPr>
        <w:pStyle w:val="ListParagraph"/>
        <w:numPr>
          <w:ilvl w:val="0"/>
          <w:numId w:val="2"/>
        </w:numPr>
        <w:spacing w:after="35"/>
      </w:pPr>
      <w:r>
        <w:rPr>
          <w:rFonts w:ascii="Arial" w:cs="Arial" w:eastAsia="Arial" w:hAnsi="Arial"/>
          <w:b/>
          <w:bCs/>
          <w:color w:val="2C3E50"/>
          <w:sz w:val="18"/>
          <w:szCs w:val="18"/>
        </w:rPr>
        <w:t xml:space="preserve">False positives → uninstalls. </w:t>
      </w:r>
      <w:r>
        <w:rPr>
          <w:rFonts w:ascii="Arial" w:cs="Arial" w:eastAsia="Arial" w:hAnsi="Arial"/>
          <w:color w:val="2C3E50"/>
          <w:sz w:val="18"/>
          <w:szCs w:val="18"/>
        </w:rPr>
        <w:t xml:space="preserve">ClawHub reports show “suspicious” labelling frustrates benign publishers. Need explainability, clear overrides, hash-based whitelisting.</w:t>
      </w:r>
    </w:p>
    <w:p>
      <w:pPr>
        <w:pStyle w:val="ListParagraph"/>
        <w:numPr>
          <w:ilvl w:val="0"/>
          <w:numId w:val="2"/>
        </w:numPr>
        <w:spacing w:after="35"/>
      </w:pPr>
      <w:r>
        <w:rPr>
          <w:rFonts w:ascii="Arial" w:cs="Arial" w:eastAsia="Arial" w:hAnsi="Arial"/>
          <w:b/>
          <w:bCs/>
          <w:color w:val="2C3E50"/>
          <w:sz w:val="18"/>
          <w:szCs w:val="18"/>
        </w:rPr>
        <w:t xml:space="preserve">Install path fragmentation. </w:t>
      </w:r>
      <w:r>
        <w:rPr>
          <w:rFonts w:ascii="Arial" w:cs="Arial" w:eastAsia="Arial" w:hAnsi="Arial"/>
          <w:color w:val="2C3E50"/>
          <w:sz w:val="18"/>
          <w:szCs w:val="18"/>
        </w:rPr>
        <w:t xml:space="preserve">npm, pnpm, bun, Nix, Ansible, Docker. Detection must handle all gracefully.</w:t>
      </w:r>
    </w:p>
    <w:p>
      <w:pPr>
        <w:pStyle w:val="ListParagraph"/>
        <w:numPr>
          <w:ilvl w:val="0"/>
          <w:numId w:val="2"/>
        </w:numPr>
        <w:spacing w:after="35"/>
      </w:pPr>
      <w:r>
        <w:rPr>
          <w:rFonts w:ascii="Arial" w:cs="Arial" w:eastAsia="Arial" w:hAnsi="Arial"/>
          <w:b/>
          <w:bCs/>
          <w:color w:val="2C3E50"/>
          <w:sz w:val="18"/>
          <w:szCs w:val="18"/>
        </w:rPr>
        <w:t xml:space="preserve">Upstream churn. </w:t>
      </w:r>
      <w:r>
        <w:rPr>
          <w:rFonts w:ascii="Arial" w:cs="Arial" w:eastAsia="Arial" w:hAnsi="Arial"/>
          <w:color w:val="2C3E50"/>
          <w:sz w:val="18"/>
          <w:szCs w:val="18"/>
        </w:rPr>
        <w:t xml:space="preserve">Renamed 3 times. Avoid tight coupling to internals; rely on filesystem structure and documented config.</w:t>
      </w:r>
    </w:p>
    <w:p>
      <w:pPr>
        <w:pStyle w:val="ListParagraph"/>
        <w:numPr>
          <w:ilvl w:val="0"/>
          <w:numId w:val="2"/>
        </w:numPr>
        <w:spacing w:after="35"/>
      </w:pPr>
      <w:r>
        <w:rPr>
          <w:rFonts w:ascii="Arial" w:cs="Arial" w:eastAsia="Arial" w:hAnsi="Arial"/>
          <w:b/>
          <w:bCs/>
          <w:color w:val="2C3E50"/>
          <w:sz w:val="18"/>
          <w:szCs w:val="18"/>
        </w:rPr>
        <w:t xml:space="preserve">Docker availability. </w:t>
      </w:r>
      <w:r>
        <w:rPr>
          <w:rFonts w:ascii="Arial" w:cs="Arial" w:eastAsia="Arial" w:hAnsi="Arial"/>
          <w:color w:val="2C3E50"/>
          <w:sz w:val="18"/>
          <w:szCs w:val="18"/>
        </w:rPr>
        <w:t xml:space="preserve">Static analysis works standalone. Detonation optional. Support rootless Podman.</w:t>
      </w:r>
    </w:p>
    <w:p>
      <w:pPr>
        <w:shd w:fill="1A5276" w:val="clear"/>
        <w:spacing w:after="100" w:before="220"/>
        <w:ind w:left="80" w:right="80"/>
      </w:pPr>
      <w:r>
        <w:rPr>
          <w:rFonts w:ascii="Arial" w:cs="Arial" w:eastAsia="Arial" w:hAnsi="Arial"/>
          <w:b/>
          <w:bCs/>
          <w:color w:val="FFFFFF"/>
          <w:sz w:val="21"/>
          <w:szCs w:val="21"/>
        </w:rPr>
        <w:t xml:space="preserve">SUGGESTED BUILD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6080"/>
      </w:tblGrid>
      <w:tr>
        <w:tc>
          <w:tcPr>
            <w:tcW w:type="dxa" w:w="1300"/>
            <w:tcBorders>
              <w:top w:val="single" w:color="AED6F1" w:sz="1"/>
              <w:left w:val="single" w:color="AED6F1" w:sz="1"/>
              <w:bottom w:val="single" w:color="AED6F1" w:sz="1"/>
              <w:right w:val="single" w:color="AED6F1" w:sz="1"/>
            </w:tcBorders>
            <w:shd w:fill="1A5276" w:val="clear"/>
            <w:tcMar>
              <w:top w:type="dxa" w:w="50"/>
              <w:left w:type="dxa" w:w="100"/>
              <w:bottom w:type="dxa" w:w="50"/>
              <w:right w:type="dxa" w:w="100"/>
            </w:tcMar>
          </w:tcPr>
          <w:p>
            <w:pPr>
              <w:spacing w:after="15" w:before="15"/>
              <w:jc w:val="left"/>
            </w:pPr>
            <w:r>
              <w:rPr>
                <w:rFonts w:ascii="Arial" w:cs="Arial" w:eastAsia="Arial" w:hAnsi="Arial"/>
                <w:b/>
                <w:bCs/>
                <w:color w:val="FFFFFF"/>
                <w:sz w:val="16"/>
                <w:szCs w:val="16"/>
              </w:rPr>
              <w:t xml:space="preserve">Phase</w:t>
            </w:r>
          </w:p>
        </w:tc>
        <w:tc>
          <w:tcPr>
            <w:tcW w:type="dxa" w:w="2700"/>
            <w:tcBorders>
              <w:top w:val="single" w:color="AED6F1" w:sz="1"/>
              <w:left w:val="single" w:color="AED6F1" w:sz="1"/>
              <w:bottom w:val="single" w:color="AED6F1" w:sz="1"/>
              <w:right w:val="single" w:color="AED6F1" w:sz="1"/>
            </w:tcBorders>
            <w:shd w:fill="1A5276" w:val="clear"/>
            <w:tcMar>
              <w:top w:type="dxa" w:w="50"/>
              <w:left w:type="dxa" w:w="100"/>
              <w:bottom w:type="dxa" w:w="50"/>
              <w:right w:type="dxa" w:w="100"/>
            </w:tcMar>
          </w:tcPr>
          <w:p>
            <w:pPr>
              <w:spacing w:after="15" w:before="15"/>
              <w:jc w:val="left"/>
            </w:pPr>
            <w:r>
              <w:rPr>
                <w:rFonts w:ascii="Arial" w:cs="Arial" w:eastAsia="Arial" w:hAnsi="Arial"/>
                <w:b/>
                <w:bCs/>
                <w:color w:val="FFFFFF"/>
                <w:sz w:val="16"/>
                <w:szCs w:val="16"/>
              </w:rPr>
              <w:t xml:space="preserve">Deliverable</w:t>
            </w:r>
          </w:p>
        </w:tc>
        <w:tc>
          <w:tcPr>
            <w:tcW w:type="dxa" w:w="6080"/>
            <w:tcBorders>
              <w:top w:val="single" w:color="AED6F1" w:sz="1"/>
              <w:left w:val="single" w:color="AED6F1" w:sz="1"/>
              <w:bottom w:val="single" w:color="AED6F1" w:sz="1"/>
              <w:right w:val="single" w:color="AED6F1" w:sz="1"/>
            </w:tcBorders>
            <w:shd w:fill="1A5276" w:val="clear"/>
            <w:tcMar>
              <w:top w:type="dxa" w:w="50"/>
              <w:left w:type="dxa" w:w="100"/>
              <w:bottom w:type="dxa" w:w="50"/>
              <w:right w:type="dxa" w:w="100"/>
            </w:tcMar>
          </w:tcPr>
          <w:p>
            <w:pPr>
              <w:spacing w:after="15" w:before="15"/>
              <w:jc w:val="left"/>
            </w:pPr>
            <w:r>
              <w:rPr>
                <w:rFonts w:ascii="Arial" w:cs="Arial" w:eastAsia="Arial" w:hAnsi="Arial"/>
                <w:b/>
                <w:bCs/>
                <w:color w:val="FFFFFF"/>
                <w:sz w:val="16"/>
                <w:szCs w:val="16"/>
              </w:rPr>
              <w:t xml:space="preserve">Scope</w:t>
            </w:r>
          </w:p>
        </w:tc>
      </w:tr>
      <w:tr>
        <w:tc>
          <w:tcPr>
            <w:tcW w:type="dxa" w:w="13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1 (2 wks)</w:t>
            </w:r>
          </w:p>
        </w:tc>
        <w:tc>
          <w:tcPr>
            <w:tcW w:type="dxa" w:w="27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Static scanner + CLI</w:t>
            </w:r>
          </w:p>
        </w:tc>
        <w:tc>
          <w:tcPr>
            <w:tcW w:type="dxa" w:w="60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OpenClaw detection, FS watcher, SKILL.md parser (import clawhub-schema), rule engine incl. staged-download detection + ClawHub/VT hash lookup, quarantine logic, core CLI commands.</w:t>
            </w:r>
          </w:p>
        </w:tc>
      </w:tr>
      <w:tr>
        <w:tc>
          <w:tcPr>
            <w:tcW w:type="dxa" w:w="13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2 (2 wks)</w:t>
            </w:r>
          </w:p>
        </w:tc>
        <w:tc>
          <w:tcPr>
            <w:tcW w:type="dxa" w:w="27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Sandbox detonation</w:t>
            </w:r>
          </w:p>
        </w:tc>
        <w:tc>
          <w:tcPr>
            <w:tcW w:type="dxa" w:w="60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Docker image with honeypots, container orchestration, network tap, FS diff. Dummy agent exercises skill capabilities including fetch/install instructions. Behavioral report generation.</w:t>
            </w:r>
          </w:p>
        </w:tc>
      </w:tr>
      <w:tr>
        <w:tc>
          <w:tcPr>
            <w:tcW w:type="dxa" w:w="13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3 (1 wk)</w:t>
            </w:r>
          </w:p>
        </w:tc>
        <w:tc>
          <w:tcPr>
            <w:tcW w:type="dxa" w:w="27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Daemon + polish</w:t>
            </w:r>
          </w:p>
        </w:tc>
        <w:tc>
          <w:tcPr>
            <w:tcW w:type="dxa" w:w="60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launchd/systemd daemon, system notifications, auto-scan on install, onboarding, README, demo video.</w:t>
            </w:r>
          </w:p>
        </w:tc>
      </w:tr>
      <w:tr>
        <w:tc>
          <w:tcPr>
            <w:tcW w:type="dxa" w:w="13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4 (ongoing)</w:t>
            </w:r>
          </w:p>
        </w:tc>
        <w:tc>
          <w:tcPr>
            <w:tcW w:type="dxa" w:w="270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b/>
                <w:bCs/>
                <w:color w:val="2C3E50"/>
                <w:sz w:val="16"/>
                <w:szCs w:val="16"/>
              </w:rPr>
              <w:t xml:space="preserve">Community + ecosystem</w:t>
            </w:r>
          </w:p>
        </w:tc>
        <w:tc>
          <w:tcPr>
            <w:tcW w:type="dxa" w:w="6080"/>
            <w:tcBorders>
              <w:top w:val="single" w:color="AED6F1" w:sz="1"/>
              <w:left w:val="single" w:color="AED6F1" w:sz="1"/>
              <w:bottom w:val="single" w:color="AED6F1" w:sz="1"/>
              <w:right w:val="single" w:color="AED6F1" w:sz="1"/>
            </w:tcBorders>
            <w:tcMar>
              <w:top w:type="dxa" w:w="50"/>
              <w:left w:type="dxa" w:w="100"/>
              <w:bottom w:type="dxa" w:w="50"/>
              <w:right w:type="dxa" w:w="100"/>
            </w:tcMar>
          </w:tcPr>
          <w:p>
            <w:pPr>
              <w:spacing w:after="15" w:before="15"/>
              <w:jc w:val="left"/>
            </w:pPr>
            <w:r>
              <w:rPr>
                <w:rFonts w:ascii="Arial" w:cs="Arial" w:eastAsia="Arial" w:hAnsi="Arial"/>
                <w:color w:val="2C3E50"/>
                <w:sz w:val="16"/>
                <w:szCs w:val="16"/>
              </w:rPr>
              <w:t xml:space="preserve">OSS launch, community rule contributions, ClawHub API for upstream reporting, benchmarking against skills archive, APort pairing docs if adoption warrants.</w:t>
            </w:r>
          </w:p>
        </w:tc>
      </w:tr>
    </w:tbl>
    <w:sectPr>
      <w:headerReference w:type="default" r:id="rId7"/>
      <w:footerReference w:type="default" r:id="rId8"/>
      <w:pgSz w:w="12240" w:h="15840" w:orient="portrait"/>
      <w:pgMar w:top="900" w:right="1080" w:bottom="7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999999"/>
        <w:sz w:val="13"/>
        <w:szCs w:val="13"/>
      </w:rPr>
      <w:t xml:space="preserve">ClawGuard — Skill Auditor for OpenClaw  |  v2 updated with competitive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spacing w:after="0"/>
    </w:pPr>
    <w:r>
      <w:rPr>
        <w:rFonts w:ascii="Arial" w:cs="Arial" w:eastAsia="Arial" w:hAnsi="Arial"/>
        <w:b/>
        <w:bCs/>
        <w:color w:val="1A5276"/>
        <w:sz w:val="15"/>
        <w:szCs w:val="15"/>
      </w:rPr>
      <w:t xml:space="preserve">CLAWGUARD</w:t>
    </w:r>
    <w:r>
      <w:rPr>
        <w:rFonts w:ascii="Arial" w:cs="Arial" w:eastAsia="Arial" w:hAnsi="Arial"/>
        <w:color w:val="999999"/>
        <w:sz w:val="13"/>
        <w:szCs w:val="13"/>
      </w:rPr>
      <w:t xml:space="preserve">   |   Product Spec v2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lvl w:ilvl="1" w15:tentative="1">
      <w:start w:val="1"/>
      <w:numFmt w:val="bullet"/>
      <w:lvlText w:val="◦"/>
      <w:lvlJc w:val="left"/>
      <w:pPr>
        <w:ind w:left="92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A5276"/>
      <w:sz w:val="36"/>
      <w:szCs w:val="36"/>
    </w:rPr>
  </w:style>
  <w:style w:type="paragraph" w:styleId="Heading2">
    <w:name w:val="Heading 2"/>
    <w:basedOn w:val="Normal"/>
    <w:next w:val="Normal"/>
    <w:qFormat/>
    <w:pPr>
      <w:spacing w:after="80" w:before="18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2026-03-08T10:33:17.782Z</dcterms:created>
  <dcterms:modified xsi:type="dcterms:W3CDTF">2026-03-08T10:33:17.783Z</dcterms:modified>
</cp:coreProperties>
</file>

<file path=docProps/custom.xml><?xml version="1.0" encoding="utf-8"?>
<Properties xmlns="http://schemas.openxmlformats.org/officeDocument/2006/custom-properties" xmlns:vt="http://schemas.openxmlformats.org/officeDocument/2006/docPropsVTypes"/>
</file>