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D5DC25" w14:textId="77777777" w:rsidR="00193FED" w:rsidRDefault="00464D2A">
      <w:pPr>
        <w:jc w:val="center"/>
      </w:pPr>
      <w:r>
        <w:rPr>
          <w:b/>
          <w:sz w:val="30"/>
        </w:rPr>
        <w:t>Mobility-Selective Soft Slicing in 6G RAN for Heterogeneous Services Using Proximal Policy Optimization</w:t>
      </w:r>
    </w:p>
    <w:p w14:paraId="456B5939" w14:textId="77777777" w:rsidR="00193FED" w:rsidRDefault="00464D2A">
      <w:pPr>
        <w:jc w:val="center"/>
      </w:pPr>
      <w:r>
        <w:t>Anonymous Submission</w:t>
      </w:r>
    </w:p>
    <w:p w14:paraId="424ABB1F" w14:textId="77777777" w:rsidR="00193FED" w:rsidRDefault="00464D2A">
      <w:pPr>
        <w:pStyle w:val="Heading1"/>
      </w:pPr>
      <w:r>
        <w:t>Abstract</w:t>
      </w:r>
    </w:p>
    <w:p w14:paraId="47F95ED1" w14:textId="77777777" w:rsidR="00193FED" w:rsidRDefault="00464D2A">
      <w:r>
        <w:t>Future 6G radio access networks must share finite spectrum among service classes with sharply different traffic and quality-of-service requirements. This paper studies soft RAN slicing for eMBB, URLLC, and mIoT/eMTC using a Proximal Policy Optimization (PPO) controller. The central design feature is mobility-selective state representation: mobility is modeled separately for eMBB and URLLC, while an eMTC mobility variable is omitted because the considered eMTC population is stationary. The resulting Markov d</w:t>
      </w:r>
      <w:r>
        <w:t>ecision process uses traffic load, queue state, SNR, mobility, coherence time, previous bandwidth allocation, and time context to choose per-slice bandwidth allocations. A multi-objective reward combines SLA compliance, spectrum efficiency, neutrality, and profitability. The actor uses a compact 64-to-64 hidden-layer architecture and the critic estimates state value; training uses the clipped PPO objective, generalized advantage estimation, and a four-phase curriculum. In the reported experimental scenarios</w:t>
      </w:r>
      <w:r>
        <w:t>, soft PPO reaches 84.7% average efficiency versus 81.2% for hard slicing while maintaining the stated URLLC SLA, with lower allocation churn and faster convergence than the generic-mobility comparison. The paper details the formulation, training workflow, edge-inference concept, experimental methodology, results, limitations, and deployment implications.</w:t>
      </w:r>
    </w:p>
    <w:p w14:paraId="44B74780" w14:textId="77777777" w:rsidR="00193FED" w:rsidRDefault="00464D2A">
      <w:r>
        <w:rPr>
          <w:i/>
        </w:rPr>
        <w:t>Keywords—RAN slicing, soft slicing, PPO, reinforcement learning, mobility-aware allocation, 6G, eMBB, URLLC, eMTC.</w:t>
      </w:r>
    </w:p>
    <w:p w14:paraId="463ECF98" w14:textId="77777777" w:rsidR="00193FED" w:rsidRDefault="00464D2A">
      <w:pPr>
        <w:pStyle w:val="Heading1"/>
      </w:pPr>
      <w:r>
        <w:t>1. Introduction</w:t>
      </w:r>
    </w:p>
    <w:p w14:paraId="72AEC8BE" w14:textId="77777777" w:rsidR="00193FED" w:rsidRDefault="00464D2A">
      <w:r>
        <w:t>Network slicing allows a common RAN infrastructure to support services with different performance objectives. The problem is particularly important when eMBB, URLLC, and massive IoT/eMTC traffic coexist. eMBB benefits from elastic bandwidth and high throughput; URLLC places stringent requirements on latency and reliability; and eMTC emphasizes large device populations and comparatively small per-device resource demand. A static partition can protect service isolation, but unused resources in one partition c</w:t>
      </w:r>
      <w:r>
        <w:t>annot be exploited efficiently by another. At the opposite extreme, unrestricted aggregation improves utilization but can expose delay-sensitive traffic to congestion and can weaken explicit fairness guarantees.</w:t>
      </w:r>
    </w:p>
    <w:p w14:paraId="365808A6" w14:textId="77777777" w:rsidR="00193FED" w:rsidRDefault="00464D2A">
      <w:r>
        <w:t>Soft slicing provides an intermediate design. Each service can retain a protected floor while temporarily borrowing unused spectrum from other slices. The technical difficulty is deciding when to borrow, how much to borrow, and when to return resources as load and radio conditions change. A fixed rule set can be constructed, but the number of interacting variables grows rapidly once traffic load, queue state, SNR, mobility, previous allocations, SLA constraints, and business objectives are considered simult</w:t>
      </w:r>
      <w:r>
        <w:t>aneously.</w:t>
      </w:r>
    </w:p>
    <w:p w14:paraId="6A50AA3C" w14:textId="77777777" w:rsidR="00193FED" w:rsidRDefault="00464D2A">
      <w:r>
        <w:t>The source design therefore formulates soft slicing as an MDP and applies PPO. Its distinguishing assumption is that the considered mIoT/eMTC devices are stationary whereas eMBB and URLLC users can be mobile. Rather than supply a generic mobility feature for all traffic, the state contains separate eMBB and URLLC velocity variables and omits an eMTC velocity variable. This is intended to make the stationary slice a predictable allocation anchor while allowing the policy to react to mobility-dependent variat</w:t>
      </w:r>
      <w:r>
        <w:t>ion in the other slices.</w:t>
      </w:r>
    </w:p>
    <w:p w14:paraId="339FA926" w14:textId="77777777" w:rsidR="00193FED" w:rsidRDefault="00464D2A">
      <w:r>
        <w:t xml:space="preserve">The paper makes four technical contributions within the supplied design: (1) a mobility-selective state vector for heterogeneous RAN slices; (2) a constrained action that allocates shared bandwidth among URLLC, eMTC, and eMBB; (3) a PPO actor-critic formulation with a reward spanning SLA, efficiency, neutrality, and profitability; and (4) a four-phase curriculum intended to progress from SLA protection to density, spectrum constraint, and mixed profitability scenarios. The reported evaluation compares hard </w:t>
      </w:r>
      <w:r>
        <w:t>slicing, soft PPO, and a generic-mobility training reference.</w:t>
      </w:r>
    </w:p>
    <w:p w14:paraId="0F28D91F" w14:textId="77777777" w:rsidR="00193FED" w:rsidRDefault="00464D2A">
      <w:pPr>
        <w:pStyle w:val="Heading1"/>
      </w:pPr>
      <w:r>
        <w:t>2. System Model and Soft-Slicing Objective</w:t>
      </w:r>
    </w:p>
    <w:p w14:paraId="2D1E2439" w14:textId="77777777" w:rsidR="00193FED" w:rsidRDefault="00464D2A">
      <w:pPr>
        <w:pStyle w:val="Heading2"/>
      </w:pPr>
      <w:r>
        <w:t>2.1 Service model</w:t>
      </w:r>
    </w:p>
    <w:p w14:paraId="78606DC1" w14:textId="77777777" w:rsidR="00193FED" w:rsidRDefault="00464D2A">
      <w:r>
        <w:t>Let B_total denote the radio resource budget available to the slicing controller during an allocation interval. The controller divides this budget among eMBB, URLLC, and eMTC. The formulation is resource-oriented: B_i can be interpreted as the bandwidth or resource-block budget assigned to slice i, provided a consistent unit is used throughout training and inference. The feasibility constraint is</w:t>
      </w:r>
    </w:p>
    <w:p w14:paraId="265F7728" w14:textId="77777777" w:rsidR="00193FED" w:rsidRDefault="00464D2A">
      <w:pPr>
        <w:spacing w:before="40" w:after="40"/>
        <w:jc w:val="center"/>
      </w:pPr>
      <w:r>
        <w:rPr>
          <w:rFonts w:ascii="Cambria Math" w:hAnsi="Cambria Math"/>
        </w:rPr>
        <w:t>B_URLLC + B_eMTC + B_eMBB &lt;= B_total.</w:t>
      </w:r>
    </w:p>
    <w:p w14:paraId="376AFE8B" w14:textId="77777777" w:rsidR="00193FED" w:rsidRDefault="00464D2A">
      <w:r>
        <w:lastRenderedPageBreak/>
        <w:t>Soft slicing differs from hard slicing because these allocations are not immutable partitions. A slice can operate near a stable floor under normal demand and release unused capacity for another slice. The policy must nevertheless preserve the SLA and fairness rules encoded in the reward and environment.</w:t>
      </w:r>
    </w:p>
    <w:p w14:paraId="1EB3D923" w14:textId="77777777" w:rsidR="00193FED" w:rsidRDefault="00464D2A">
      <w:pPr>
        <w:pStyle w:val="Heading2"/>
      </w:pPr>
      <w:r>
        <w:t>2.2 Mobility-selective state</w:t>
      </w:r>
    </w:p>
    <w:p w14:paraId="749DE7DB" w14:textId="77777777" w:rsidR="00193FED" w:rsidRDefault="00464D2A">
      <w:r>
        <w:t>At allocation slot t, the state used by the supplied formulation is</w:t>
      </w:r>
    </w:p>
    <w:p w14:paraId="68D4BC16" w14:textId="77777777" w:rsidR="00193FED" w:rsidRDefault="00464D2A">
      <w:pPr>
        <w:spacing w:before="40" w:after="40"/>
        <w:jc w:val="center"/>
      </w:pPr>
      <w:r>
        <w:rPr>
          <w:rFonts w:ascii="Cambria Math" w:hAnsi="Cambria Math"/>
        </w:rPr>
        <w:t>s_t = [B_total, rho_eMBB, rho_URLLC, rho_eMTC, q_eMBB, q_URLLC, q_eMTC, SNR, v_eMBB, v_URLLC, T_coh, B_prev, tau].</w:t>
      </w:r>
    </w:p>
    <w:p w14:paraId="444077AD" w14:textId="77777777" w:rsidR="00193FED" w:rsidRDefault="00464D2A">
      <w:r>
        <w:t xml:space="preserve">Here rho_i represents traffic load or demand for slice i, q_i represents queue state, SNR captures radio quality, v_eMBB and v_URLLC represent the separate mobile-service velocities, T_coh is coherence time, B_prev records the previous allocation, and tau provides time context. The state is approximately 13-dimensional. The absence of v_eMTC is deliberate: in the evaluated model eMTC is stationary. This does not mean all real eMTC deployments are stationary; it is an assumption of the supplied experimental </w:t>
      </w:r>
      <w:r>
        <w:t>design.</w:t>
      </w:r>
    </w:p>
    <w:p w14:paraId="783BFFF6" w14:textId="77777777" w:rsidR="00193FED" w:rsidRDefault="00464D2A">
      <w:r>
        <w:t>Including B_prev gives the controller information about its immediately preceding resource decision. This is important because a policy that maximizes instantaneous utilization by repeatedly changing allocations can create excessive churn. The supplied results therefore report allocation churn in addition to efficiency.</w:t>
      </w:r>
    </w:p>
    <w:p w14:paraId="30D77196" w14:textId="77777777" w:rsidR="00193FED" w:rsidRDefault="00464D2A">
      <w:pPr>
        <w:pStyle w:val="Heading1"/>
      </w:pPr>
      <w:r>
        <w:t>3. PPO Formulation</w:t>
      </w:r>
    </w:p>
    <w:p w14:paraId="542D4CA6" w14:textId="77777777" w:rsidR="00193FED" w:rsidRDefault="00464D2A">
      <w:pPr>
        <w:pStyle w:val="Heading2"/>
      </w:pPr>
      <w:r>
        <w:t>3.1 Action and multi-objective reward</w:t>
      </w:r>
    </w:p>
    <w:p w14:paraId="68E26F3E" w14:textId="77777777" w:rsidR="00193FED" w:rsidRDefault="00464D2A">
      <w:r>
        <w:t>The action is the three-component allocation vector</w:t>
      </w:r>
    </w:p>
    <w:p w14:paraId="51D28FCA" w14:textId="77777777" w:rsidR="00193FED" w:rsidRDefault="00464D2A">
      <w:pPr>
        <w:spacing w:before="40" w:after="40"/>
        <w:jc w:val="center"/>
      </w:pPr>
      <w:r>
        <w:rPr>
          <w:rFonts w:ascii="Cambria Math" w:hAnsi="Cambria Math"/>
        </w:rPr>
        <w:t>a_t = [B_URLLC, B_eMTC, B_eMBB].</w:t>
      </w:r>
    </w:p>
    <w:p w14:paraId="15E3124D" w14:textId="77777777" w:rsidR="00193FED" w:rsidRDefault="00464D2A">
      <w:r>
        <w:t>The reward combines four objectives:</w:t>
      </w:r>
    </w:p>
    <w:p w14:paraId="4341C640" w14:textId="77777777" w:rsidR="00193FED" w:rsidRDefault="00464D2A">
      <w:pPr>
        <w:spacing w:before="40" w:after="40"/>
        <w:jc w:val="center"/>
      </w:pPr>
      <w:r>
        <w:rPr>
          <w:rFonts w:ascii="Cambria Math" w:hAnsi="Cambria Math"/>
        </w:rPr>
        <w:t>R_t = 0.40 R_SLA + 0.25 R_eff + 0.20 R_neut + 0.15 R_prof.</w:t>
      </w:r>
    </w:p>
    <w:p w14:paraId="4D5F5A85" w14:textId="77777777" w:rsidR="00193FED" w:rsidRDefault="00464D2A">
      <w:r>
        <w:t>In the supplied model, R_SLA is +2.0 when the URLLC SLA is met and -10.0 when it is violated. R_eff is proportional to B_used/B_total with scale factor 0.5. R_neut applies a -0.5 penalty when a service is starved. R_prof is based on the relative difference between baseline and sliced revenue. The large negative SLA term makes an URLLC violation much more costly than a modest efficiency improvement, while the remaining terms allow the policy to trade utilization, neutrality, and profitability when the SLA is</w:t>
      </w:r>
      <w:r>
        <w:t xml:space="preserve"> protected.</w:t>
      </w:r>
    </w:p>
    <w:p w14:paraId="5E206EEA" w14:textId="77777777" w:rsidR="00193FED" w:rsidRDefault="00464D2A">
      <w:r>
        <w:t>The coefficients should be understood as design weights, not universal constants. They define the priorities of this experiment. A carrier deployment would require calibration against its own SLA definitions, traffic mix, regulatory requirements, and economic model.</w:t>
      </w:r>
    </w:p>
    <w:p w14:paraId="1D4BF59B" w14:textId="77777777" w:rsidR="00193FED" w:rsidRDefault="00464D2A">
      <w:pPr>
        <w:pStyle w:val="Heading2"/>
      </w:pPr>
      <w:r>
        <w:t>3.2 Actor-critic network</w:t>
      </w:r>
    </w:p>
    <w:p w14:paraId="0619F2AF" w14:textId="77777777" w:rsidR="00193FED" w:rsidRDefault="00464D2A">
      <w:r>
        <w:t>The PPO controller contains an actor and a critic. The actor maps the current state to an action distribution. In the supplied architecture, the policy network is represented as</w:t>
      </w:r>
    </w:p>
    <w:p w14:paraId="2C7FDFF8" w14:textId="77777777" w:rsidR="00193FED" w:rsidRDefault="00464D2A">
      <w:pPr>
        <w:spacing w:before="40" w:after="40"/>
        <w:jc w:val="center"/>
      </w:pPr>
      <w:r>
        <w:rPr>
          <w:rFonts w:ascii="Cambria Math" w:hAnsi="Cambria Math"/>
        </w:rPr>
        <w:t>pi(a|s; theta) = softmax(NN_theta(s)),   NN: 64 -&gt; ReLU -&gt; 64 -&gt; ReLU -&gt; 336.</w:t>
      </w:r>
    </w:p>
    <w:p w14:paraId="40BFF001" w14:textId="77777777" w:rsidR="00193FED" w:rsidRDefault="00464D2A">
      <w:r>
        <w:t>The two 64-node hidden layers form nonlinear features from the state variables. The final 336 outputs represent the action parameterization used by the supplied design. The critic V(s; phi) produces a scalar estimate of expected future return from state s. During training, the critic provides a baseline for judging whether the observed outcome was better or worse than expected.</w:t>
      </w:r>
    </w:p>
    <w:p w14:paraId="1E673812" w14:textId="77777777" w:rsidR="00193FED" w:rsidRDefault="00464D2A">
      <w:pPr>
        <w:pStyle w:val="Heading2"/>
      </w:pPr>
      <w:r>
        <w:t>3.3 Clipped PPO update</w:t>
      </w:r>
    </w:p>
    <w:p w14:paraId="78DEDEFB" w14:textId="77777777" w:rsidR="00193FED" w:rsidRDefault="00464D2A">
      <w:r>
        <w:t>PPO updates the policy by comparing the probability of the sampled action under the new and old policies. The probability ratio is</w:t>
      </w:r>
    </w:p>
    <w:p w14:paraId="191D3839" w14:textId="77777777" w:rsidR="00193FED" w:rsidRDefault="00464D2A">
      <w:pPr>
        <w:spacing w:before="40" w:after="40"/>
        <w:jc w:val="center"/>
      </w:pPr>
      <w:r>
        <w:rPr>
          <w:rFonts w:ascii="Cambria Math" w:hAnsi="Cambria Math"/>
        </w:rPr>
        <w:t>r_t(theta) = pi(a_t|s_t; theta) / pi(a_t|s_t; theta_old).</w:t>
      </w:r>
    </w:p>
    <w:p w14:paraId="1102B1E9" w14:textId="77777777" w:rsidR="00193FED" w:rsidRDefault="00464D2A">
      <w:r>
        <w:t>The clipped surrogate objective is</w:t>
      </w:r>
    </w:p>
    <w:p w14:paraId="2F6FEAE6" w14:textId="77777777" w:rsidR="00193FED" w:rsidRDefault="00464D2A">
      <w:pPr>
        <w:spacing w:before="40" w:after="40"/>
        <w:jc w:val="center"/>
      </w:pPr>
      <w:r>
        <w:rPr>
          <w:rFonts w:ascii="Cambria Math" w:hAnsi="Cambria Math"/>
        </w:rPr>
        <w:t>L_CLIP(theta) = E_t[min(r_t(theta) A_hat_t, clip(r_t(theta), 1-epsilon, 1+epsilon) A_hat_t)],</w:t>
      </w:r>
    </w:p>
    <w:p w14:paraId="73933652" w14:textId="77777777" w:rsidR="00193FED" w:rsidRDefault="00464D2A">
      <w:r>
        <w:t xml:space="preserve">with epsilon = 0.2 in the supplied configuration. The clipping operation limits how far a single update can move the policy probability ratio, reducing the likelihood of an excessively large policy change. The advantage A_hat_t is estimated using generalized advantage estimation with gamma = 0.99 and lambda = 0.95. Back-propagation through the actor network adjusts its weights to increase the probability of actions with positive </w:t>
      </w:r>
      <w:r>
        <w:lastRenderedPageBreak/>
        <w:t>estimated advantage and reduce the probability of actions with negative advantage, subject to PPO clipping. The critic is trained to improve its value estimate.</w:t>
      </w:r>
    </w:p>
    <w:p w14:paraId="7197CD8A" w14:textId="77777777" w:rsidR="00193FED" w:rsidRDefault="00464D2A">
      <w:pPr>
        <w:pStyle w:val="Heading1"/>
      </w:pPr>
      <w:r>
        <w:t>4. Training and Inference Workflow</w:t>
      </w:r>
    </w:p>
    <w:p w14:paraId="67B51A98" w14:textId="77777777" w:rsidR="00193FED" w:rsidRDefault="00464D2A">
      <w:pPr>
        <w:pStyle w:val="Heading2"/>
      </w:pPr>
      <w:r>
        <w:t>4.1 Curriculum training</w:t>
      </w:r>
    </w:p>
    <w:p w14:paraId="29CA35FA" w14:textId="77777777" w:rsidR="00193FED" w:rsidRDefault="00464D2A">
      <w:r>
        <w:t xml:space="preserve">Training is organized into four phases of 1,350 episodes each, for 5,400 episodes in total. Phase 1 emphasizes SLA protection with abundant spectrum and an SLA weight of 0.50. Phase 2 increases emphasis on device density using eMTC-heavy traffic, with lambda_SLA = 0.45 and lambda_eff = 0.25. Phase 3 introduces a constrained 50-RB scenario and raises the efficiency weight to 0.30. Phase 4 uses mixed scenarios and includes the profitability weight lambda_prof = 0.15. The supplied hyperparameters are learning </w:t>
      </w:r>
      <w:r>
        <w:t>rate 3 x 10^-4, batch size 512, 10 epochs per update, and rollout length 2048.</w:t>
      </w:r>
    </w:p>
    <w:p w14:paraId="4D857BDB" w14:textId="77777777" w:rsidR="00193FED" w:rsidRDefault="00464D2A">
      <w:r>
        <w:t>This curriculum separates learning challenges that would otherwise arrive simultaneously. The first phase establishes the high-priority URLLC behavior; later phases expose the policy to density and scarcity; the final phase presents the multi-objective mixture. The supplied comparison reports convergence in 5,400 episodes versus 7,200 episodes for a generic-mobile-state model.</w:t>
      </w:r>
    </w:p>
    <w:p w14:paraId="14ED57B4" w14:textId="77777777" w:rsidR="00193FED" w:rsidRDefault="00464D2A">
      <w:pPr>
        <w:pStyle w:val="Heading2"/>
      </w:pPr>
      <w:r>
        <w:t>4.2 Edge inference</w:t>
      </w:r>
    </w:p>
    <w:p w14:paraId="704A5161" w14:textId="77777777" w:rsidR="00193FED" w:rsidRDefault="00464D2A">
      <w:r>
        <w:t>Training and inference have different computational roles. Training performs rollout collection, advantage estimation, repeated gradient updates, and critic learning. Inference only evaluates the trained actor for the current state and selects an allocation. The supplied paper reports a small-network inference time below 1 microsecond and positions the trained policy for edge deployment. That timing is a reported experimental claim from the source and should be revalidated on the actual target gNB/O-DU hard</w:t>
      </w:r>
      <w:r>
        <w:t>ware and software stack before deployment.</w:t>
      </w:r>
    </w:p>
    <w:p w14:paraId="6E20F0E5" w14:textId="77777777" w:rsidR="00193FED" w:rsidRDefault="00464D2A">
      <w:r>
        <w:t>A practical implementation would therefore keep the latency-sensitive decision path close to the RAN while allowing computationally heavier retraining or policy validation to occur outside the immediate scheduling loop. The supplied source does not specify a complete O-RAN or 3GPP functional split, so this paper does not assign the training or inference function to a specific standardized interface.</w:t>
      </w:r>
    </w:p>
    <w:p w14:paraId="00C6685F" w14:textId="77777777" w:rsidR="00193FED" w:rsidRDefault="00464D2A">
      <w:pPr>
        <w:pStyle w:val="Heading1"/>
      </w:pPr>
      <w:r>
        <w:t>5. Experimental Methodology and Results</w:t>
      </w:r>
    </w:p>
    <w:p w14:paraId="569EBCA2" w14:textId="77777777" w:rsidR="00193FED" w:rsidRDefault="00464D2A">
      <w:pPr>
        <w:pStyle w:val="Heading2"/>
      </w:pPr>
      <w:r>
        <w:t>5.1 Evaluation scenarios</w:t>
      </w:r>
    </w:p>
    <w:p w14:paraId="22B76E91" w14:textId="77777777" w:rsidR="00193FED" w:rsidRDefault="00464D2A">
      <w:r>
        <w:t>The reported evaluation includes a balanced traffic case with a 70/15/15 mix, an IoT-heavy case with a 60/30/10 mix, and a high-mobility case. Hard slicing is the principal baseline. A generic-mobility representation is also used for the convergence and churn comparison. The supplied source reports training on an NVIDIA RTX 3080.</w:t>
      </w:r>
    </w:p>
    <w:tbl>
      <w:tblPr>
        <w:tblStyle w:val="TableGrid"/>
        <w:tblW w:w="0" w:type="auto"/>
        <w:jc w:val="center"/>
        <w:tblLook w:val="04A0" w:firstRow="1" w:lastRow="0" w:firstColumn="1" w:lastColumn="0" w:noHBand="0" w:noVBand="1"/>
      </w:tblPr>
      <w:tblGrid>
        <w:gridCol w:w="2541"/>
        <w:gridCol w:w="2541"/>
        <w:gridCol w:w="2541"/>
        <w:gridCol w:w="2541"/>
      </w:tblGrid>
      <w:tr w:rsidR="00193FED" w14:paraId="7CAF3ADF" w14:textId="77777777">
        <w:trPr>
          <w:jc w:val="center"/>
        </w:trPr>
        <w:tc>
          <w:tcPr>
            <w:tcW w:w="2541" w:type="dxa"/>
          </w:tcPr>
          <w:p w14:paraId="72197C33" w14:textId="77777777" w:rsidR="00193FED" w:rsidRDefault="00464D2A">
            <w:r>
              <w:rPr>
                <w:b/>
              </w:rPr>
              <w:t>Scenario</w:t>
            </w:r>
          </w:p>
        </w:tc>
        <w:tc>
          <w:tcPr>
            <w:tcW w:w="2541" w:type="dxa"/>
          </w:tcPr>
          <w:p w14:paraId="56BEB453" w14:textId="77777777" w:rsidR="00193FED" w:rsidRDefault="00464D2A">
            <w:r>
              <w:rPr>
                <w:b/>
              </w:rPr>
              <w:t>Hard Slicing</w:t>
            </w:r>
          </w:p>
        </w:tc>
        <w:tc>
          <w:tcPr>
            <w:tcW w:w="2541" w:type="dxa"/>
          </w:tcPr>
          <w:p w14:paraId="6D18C178" w14:textId="77777777" w:rsidR="00193FED" w:rsidRDefault="00464D2A">
            <w:r>
              <w:rPr>
                <w:b/>
              </w:rPr>
              <w:t>Soft PPO</w:t>
            </w:r>
          </w:p>
        </w:tc>
        <w:tc>
          <w:tcPr>
            <w:tcW w:w="2541" w:type="dxa"/>
          </w:tcPr>
          <w:p w14:paraId="69C31951" w14:textId="77777777" w:rsidR="00193FED" w:rsidRDefault="00464D2A">
            <w:r>
              <w:rPr>
                <w:b/>
              </w:rPr>
              <w:t>Gain</w:t>
            </w:r>
          </w:p>
        </w:tc>
      </w:tr>
      <w:tr w:rsidR="00193FED" w14:paraId="5393753F" w14:textId="77777777">
        <w:trPr>
          <w:jc w:val="center"/>
        </w:trPr>
        <w:tc>
          <w:tcPr>
            <w:tcW w:w="2541" w:type="dxa"/>
          </w:tcPr>
          <w:p w14:paraId="69728647" w14:textId="77777777" w:rsidR="00193FED" w:rsidRDefault="00464D2A">
            <w:r>
              <w:t>Balanced (70/15/15)</w:t>
            </w:r>
          </w:p>
        </w:tc>
        <w:tc>
          <w:tcPr>
            <w:tcW w:w="2541" w:type="dxa"/>
          </w:tcPr>
          <w:p w14:paraId="69964900" w14:textId="77777777" w:rsidR="00193FED" w:rsidRDefault="00464D2A">
            <w:r>
              <w:t>79.5%</w:t>
            </w:r>
          </w:p>
        </w:tc>
        <w:tc>
          <w:tcPr>
            <w:tcW w:w="2541" w:type="dxa"/>
          </w:tcPr>
          <w:p w14:paraId="457B84D4" w14:textId="77777777" w:rsidR="00193FED" w:rsidRDefault="00464D2A">
            <w:r>
              <w:t>82.1%</w:t>
            </w:r>
          </w:p>
        </w:tc>
        <w:tc>
          <w:tcPr>
            <w:tcW w:w="2541" w:type="dxa"/>
          </w:tcPr>
          <w:p w14:paraId="2EA38E36" w14:textId="77777777" w:rsidR="00193FED" w:rsidRDefault="00464D2A">
            <w:r>
              <w:t>+2.6 pp</w:t>
            </w:r>
          </w:p>
        </w:tc>
      </w:tr>
      <w:tr w:rsidR="00193FED" w14:paraId="21DEC60F" w14:textId="77777777">
        <w:trPr>
          <w:jc w:val="center"/>
        </w:trPr>
        <w:tc>
          <w:tcPr>
            <w:tcW w:w="2541" w:type="dxa"/>
          </w:tcPr>
          <w:p w14:paraId="5B05E49A" w14:textId="77777777" w:rsidR="00193FED" w:rsidRDefault="00464D2A">
            <w:r>
              <w:t>IoT-Heavy (60/30/10)</w:t>
            </w:r>
          </w:p>
        </w:tc>
        <w:tc>
          <w:tcPr>
            <w:tcW w:w="2541" w:type="dxa"/>
          </w:tcPr>
          <w:p w14:paraId="0C1FC54F" w14:textId="77777777" w:rsidR="00193FED" w:rsidRDefault="00464D2A">
            <w:r>
              <w:t>84.3%</w:t>
            </w:r>
          </w:p>
        </w:tc>
        <w:tc>
          <w:tcPr>
            <w:tcW w:w="2541" w:type="dxa"/>
          </w:tcPr>
          <w:p w14:paraId="39E1279D" w14:textId="77777777" w:rsidR="00193FED" w:rsidRDefault="00464D2A">
            <w:r>
              <w:t>91.2%</w:t>
            </w:r>
          </w:p>
        </w:tc>
        <w:tc>
          <w:tcPr>
            <w:tcW w:w="2541" w:type="dxa"/>
          </w:tcPr>
          <w:p w14:paraId="0DB9898E" w14:textId="77777777" w:rsidR="00193FED" w:rsidRDefault="00464D2A">
            <w:r>
              <w:t>+6.9 pp</w:t>
            </w:r>
          </w:p>
        </w:tc>
      </w:tr>
      <w:tr w:rsidR="00193FED" w14:paraId="76BDB617" w14:textId="77777777">
        <w:trPr>
          <w:jc w:val="center"/>
        </w:trPr>
        <w:tc>
          <w:tcPr>
            <w:tcW w:w="2541" w:type="dxa"/>
          </w:tcPr>
          <w:p w14:paraId="7A60ED23" w14:textId="77777777" w:rsidR="00193FED" w:rsidRDefault="00464D2A">
            <w:r>
              <w:t>High-Mobility</w:t>
            </w:r>
          </w:p>
        </w:tc>
        <w:tc>
          <w:tcPr>
            <w:tcW w:w="2541" w:type="dxa"/>
          </w:tcPr>
          <w:p w14:paraId="737640B0" w14:textId="77777777" w:rsidR="00193FED" w:rsidRDefault="00464D2A">
            <w:r>
              <w:t>~80%</w:t>
            </w:r>
          </w:p>
        </w:tc>
        <w:tc>
          <w:tcPr>
            <w:tcW w:w="2541" w:type="dxa"/>
          </w:tcPr>
          <w:p w14:paraId="1A9C8C36" w14:textId="77777777" w:rsidR="00193FED" w:rsidRDefault="00464D2A">
            <w:r>
              <w:t>85%</w:t>
            </w:r>
          </w:p>
        </w:tc>
        <w:tc>
          <w:tcPr>
            <w:tcW w:w="2541" w:type="dxa"/>
          </w:tcPr>
          <w:p w14:paraId="02BBB93B" w14:textId="77777777" w:rsidR="00193FED" w:rsidRDefault="00464D2A">
            <w:r>
              <w:t>+5 pp</w:t>
            </w:r>
          </w:p>
        </w:tc>
      </w:tr>
      <w:tr w:rsidR="00193FED" w14:paraId="2583AD38" w14:textId="77777777">
        <w:trPr>
          <w:jc w:val="center"/>
        </w:trPr>
        <w:tc>
          <w:tcPr>
            <w:tcW w:w="2541" w:type="dxa"/>
          </w:tcPr>
          <w:p w14:paraId="66FF9042" w14:textId="77777777" w:rsidR="00193FED" w:rsidRDefault="00464D2A">
            <w:r>
              <w:t>Average Efficiency</w:t>
            </w:r>
          </w:p>
        </w:tc>
        <w:tc>
          <w:tcPr>
            <w:tcW w:w="2541" w:type="dxa"/>
          </w:tcPr>
          <w:p w14:paraId="754E2723" w14:textId="77777777" w:rsidR="00193FED" w:rsidRDefault="00464D2A">
            <w:r>
              <w:t>81.2%</w:t>
            </w:r>
          </w:p>
        </w:tc>
        <w:tc>
          <w:tcPr>
            <w:tcW w:w="2541" w:type="dxa"/>
          </w:tcPr>
          <w:p w14:paraId="524070E2" w14:textId="77777777" w:rsidR="00193FED" w:rsidRDefault="00464D2A">
            <w:r>
              <w:t>84.7%</w:t>
            </w:r>
          </w:p>
        </w:tc>
        <w:tc>
          <w:tcPr>
            <w:tcW w:w="2541" w:type="dxa"/>
          </w:tcPr>
          <w:p w14:paraId="0D378205" w14:textId="77777777" w:rsidR="00193FED" w:rsidRDefault="00464D2A">
            <w:r>
              <w:t>+3.5 pp</w:t>
            </w:r>
          </w:p>
        </w:tc>
      </w:tr>
    </w:tbl>
    <w:p w14:paraId="4799080C" w14:textId="77777777" w:rsidR="00193FED" w:rsidRDefault="00464D2A">
      <w:r>
        <w:rPr>
          <w:i/>
        </w:rPr>
        <w:t>Table 1. Reported spectrum-efficiency results across the supplied scenarios.</w:t>
      </w:r>
    </w:p>
    <w:p w14:paraId="54D691DE" w14:textId="77777777" w:rsidR="00193FED" w:rsidRDefault="00464D2A">
      <w:pPr>
        <w:pStyle w:val="Heading2"/>
      </w:pPr>
      <w:r>
        <w:t>5.2 SLA, churn, and convergence</w:t>
      </w:r>
    </w:p>
    <w:p w14:paraId="46A6E5DD" w14:textId="77777777" w:rsidR="00193FED" w:rsidRDefault="00464D2A">
      <w:r>
        <w:t>The source reports that the URLLC SLA is maintained at 99.99999% across all scenarios. It also reports a +5.2% revenue uplift in the IoT-heavy case, allocation churn of 22% of slots versus 30% for the generic-mobility model, and a 20-30% churn reduction. Training reaches 5,400 episodes in approximately 1.2 hours on the RTX 3080, with efficiency plateauing at 84.7% by episode 4,500. The generic-mobility comparison is reported to require 7,200 episodes.</w:t>
      </w:r>
    </w:p>
    <w:p w14:paraId="0BCD1E90" w14:textId="77777777" w:rsidR="00193FED" w:rsidRDefault="00464D2A">
      <w:r>
        <w:t xml:space="preserve">The strongest efficiency improvement occurs in the IoT-heavy case: 91.2% for soft PPO versus 84.3% for hard slicing, a gain of 6.9 percentage points. In the balanced case the gain is smaller at 2.6 percentage points. These results are consistent with the design premise that a stable eMTC allocation can create borrowing opportunities, but the supplied source does not provide confidence intervals, repeated random seeds, or statistical significance tests. The numerical gains should therefore be treated as the </w:t>
      </w:r>
      <w:r>
        <w:t>reported outcomes of the described experiment rather than universal performance guarantees.</w:t>
      </w:r>
    </w:p>
    <w:p w14:paraId="571A3488" w14:textId="77777777" w:rsidR="00193FED" w:rsidRDefault="00464D2A">
      <w:pPr>
        <w:pStyle w:val="Heading2"/>
      </w:pPr>
      <w:r>
        <w:lastRenderedPageBreak/>
        <w:t>5.3 Learned allocation behavior</w:t>
      </w:r>
    </w:p>
    <w:p w14:paraId="235E246B" w14:textId="77777777" w:rsidR="00193FED" w:rsidRDefault="00464D2A">
      <w:r>
        <w:t xml:space="preserve">The qualitative learned policy reported by the source assigns an eMTC anchor of approximately 8-15 RBs, an adaptive URLLC allocation of 12-20 RBs that varies with v_URLLC and SNR, and the remaining resource to eMBB. The source attributes roughly 2-3 RBs per slot of dynamic reallocation to recognition of eMTC stationarity. This interpretation connects the state-design choice to the observed efficiency gain: the stationary slice becomes a relatively predictable floor, while mobile and elastic services absorb </w:t>
      </w:r>
      <w:r>
        <w:t>short-term variation.</w:t>
      </w:r>
    </w:p>
    <w:p w14:paraId="6DA7DCA2" w14:textId="77777777" w:rsidR="00193FED" w:rsidRDefault="00464D2A">
      <w:pPr>
        <w:pStyle w:val="Heading1"/>
      </w:pPr>
      <w:r>
        <w:t>6. Technical Discussion</w:t>
      </w:r>
    </w:p>
    <w:p w14:paraId="5BC822CB" w14:textId="77777777" w:rsidR="00193FED" w:rsidRDefault="00464D2A">
      <w:pPr>
        <w:pStyle w:val="Heading2"/>
      </w:pPr>
      <w:r>
        <w:t>6.1 Why mobility selectivity can simplify learning</w:t>
      </w:r>
    </w:p>
    <w:p w14:paraId="27EBADD3" w14:textId="77777777" w:rsidR="00193FED" w:rsidRDefault="00464D2A">
      <w:r>
        <w:t>A generic mobility variable forces the policy to learn a relationship between mobility and demand for every service even when one service is stationary in the modeled environment. Omitting the constant eMTC mobility variable removes an uninformative degree of freedom. Separate eMBB and URLLC mobility variables also prevent two mobile service classes from being collapsed into one generic descriptor. The supplied results associate this representation with 25% faster convergence. The causal contribution of eac</w:t>
      </w:r>
      <w:r>
        <w:t>h state feature, however, would require an ablation study, which is not included in the source.</w:t>
      </w:r>
    </w:p>
    <w:p w14:paraId="17783698" w14:textId="77777777" w:rsidR="00193FED" w:rsidRDefault="00464D2A">
      <w:pPr>
        <w:pStyle w:val="Heading2"/>
      </w:pPr>
      <w:r>
        <w:t>6.2 SLA protection versus efficiency</w:t>
      </w:r>
    </w:p>
    <w:p w14:paraId="79D32EDF" w14:textId="77777777" w:rsidR="00193FED" w:rsidRDefault="00464D2A">
      <w:r>
        <w:t>The reward structure makes SLA protection dominant through the -10 violation penalty while still rewarding utilization. This is important for soft slicing: borrowing is useful only if it does not cause the protected service to miss its target. The neutrality penalty similarly discourages a policy from achieving high aggregate efficiency by starving a lower-priority slice. Thus the optimization target is not maximum throughput alone; it is constrained multi-objective behavior encoded through reward shaping.</w:t>
      </w:r>
    </w:p>
    <w:p w14:paraId="35BA100E" w14:textId="77777777" w:rsidR="00193FED" w:rsidRDefault="00464D2A">
      <w:pPr>
        <w:pStyle w:val="Heading2"/>
      </w:pPr>
      <w:r>
        <w:t>6.3 Stability and allocation churn</w:t>
      </w:r>
    </w:p>
    <w:p w14:paraId="3E06CA45" w14:textId="77777777" w:rsidR="00193FED" w:rsidRDefault="00464D2A">
      <w:r>
        <w:t>Including the previous allocation in the state gives the actor information that can support smoother decisions, but the supplied reward equation does not contain an explicit churn penalty. The reported churn reduction therefore appears as learned behavior under the provided state and training conditions rather than as a directly penalized objective. If churn becomes a deployment-critical metric, a future formulation could test an explicit transition cost, but that extension is outside the supplied experimen</w:t>
      </w:r>
      <w:r>
        <w:t>t.</w:t>
      </w:r>
    </w:p>
    <w:p w14:paraId="258A8319" w14:textId="77777777" w:rsidR="00193FED" w:rsidRDefault="00464D2A">
      <w:pPr>
        <w:pStyle w:val="Heading1"/>
      </w:pPr>
      <w:r>
        <w:t>7. Deployment, Neutrality, and Business Considerations</w:t>
      </w:r>
    </w:p>
    <w:p w14:paraId="4DD41B3E" w14:textId="77777777" w:rsidR="00193FED" w:rsidRDefault="00464D2A">
      <w:r>
        <w:t>The supplied design argues that RAN neutrality is preserved through transparent per-slice rules, no content discrimination, and minimum allocation constraints. Example tariffs in the source are $30/Mbps for URLLC, $0.50/device for eMTC, and $0.10/Mbps for eMBB. These values are illustrative parameters of the business case, not market-wide tariff recommendations.</w:t>
      </w:r>
    </w:p>
    <w:p w14:paraId="5D25E619" w14:textId="77777777" w:rsidR="00193FED" w:rsidRDefault="00464D2A">
      <w:r>
        <w:t>The reported +5.2% revenue uplift is linked to eMTC volume, URLLC premium service, and eMBB retention. For technical deployment, economic reward terms should be separated from hard safety or regulatory constraints wherever violation is unacceptable. The source expresses these objectives within a weighted reward; production systems would require operator-specific validation, guardrails, monitoring, and rollback procedures.</w:t>
      </w:r>
    </w:p>
    <w:p w14:paraId="11F93F5A" w14:textId="77777777" w:rsidR="00193FED" w:rsidRDefault="00464D2A">
      <w:r>
        <w:t>The compact actor is intended for edge inference, which avoids introducing cloud round-trip latency into the allocation decision. The source does not define the exact scheduling periodicity or standardized placement of the PPO function. Consequently, the present paper limits its claim to the architectural principle: train a policy using the richer actor-critic workflow, then execute the compact policy close enough to the RAN control loop to satisfy the intended decision latency.</w:t>
      </w:r>
    </w:p>
    <w:p w14:paraId="22001340" w14:textId="77777777" w:rsidR="00193FED" w:rsidRDefault="00464D2A">
      <w:pPr>
        <w:pStyle w:val="Heading1"/>
      </w:pPr>
      <w:r>
        <w:t>8. Limitations and Future Work</w:t>
      </w:r>
    </w:p>
    <w:p w14:paraId="77EF3086" w14:textId="77777777" w:rsidR="00193FED" w:rsidRDefault="00464D2A">
      <w:r>
        <w:t>The supplied model assumes known traffic mix rho_i. A deployed controller would require current measurements or an online predictor. The experiment also assumes stationary eMTC; mobile IoT use cases would require revisiting the state design. The reported evaluation does not include multi-cell interference coordination, confidence intervals, multiple random seeds, ablation of individual state features, or hardware-in-the-loop timing measurements. These are important next steps before drawing general conclusi</w:t>
      </w:r>
      <w:r>
        <w:t>ons.</w:t>
      </w:r>
    </w:p>
    <w:p w14:paraId="2E258050" w14:textId="77777777" w:rsidR="00193FED" w:rsidRDefault="00464D2A">
      <w:r>
        <w:t xml:space="preserve">The source identifies multi-cell multi-agent reinforcement learning as future work, particularly where neighboring cells compete for or coordinate shared borrowing. Further work could also compare the mobility-selective PPO policy against fixed heuristics and other RL baselines under identical traffic traces, and test </w:t>
      </w:r>
      <w:r>
        <w:lastRenderedPageBreak/>
        <w:t>robustness when traffic distributions differ from the training curriculum. These are proposed extensions; they are not part of the reported results.</w:t>
      </w:r>
    </w:p>
    <w:p w14:paraId="6FB84BA9" w14:textId="77777777" w:rsidR="00193FED" w:rsidRDefault="00464D2A">
      <w:pPr>
        <w:pStyle w:val="Heading1"/>
      </w:pPr>
      <w:r>
        <w:t>9. Conclusion</w:t>
      </w:r>
    </w:p>
    <w:p w14:paraId="0C3B80FE" w14:textId="77777777" w:rsidR="00193FED" w:rsidRDefault="00464D2A">
      <w:r>
        <w:t>This paper presents a mobility-selective PPO formulation for soft slicing among eMBB, URLLC, and eMTC services in a 6G RAN. The key modeling choice is to represent eMBB and URLLC mobility separately while omitting eMTC mobility in the stationary-IoT scenario. A compact actor-critic network learns bandwidth allocation under a reward that combines SLA, efficiency, neutrality, and profitability. In the supplied experimental results, soft PPO improves average efficiency from 81.2% for hard slicing to 84.7%, mai</w:t>
      </w:r>
      <w:r>
        <w:t>ntains the stated URLLC SLA, reduces allocation churn, and converges in 5,400 episodes. The results support further study of mobility-aware soft slicing, while the limitations indicate that multi-cell validation, statistical testing, traffic prediction, and target-platform timing measurements remain necessary before deployment.</w:t>
      </w:r>
    </w:p>
    <w:p w14:paraId="61D047A5" w14:textId="77777777" w:rsidR="00193FED" w:rsidRDefault="00464D2A">
      <w:pPr>
        <w:pStyle w:val="Heading1"/>
        <w:pageBreakBefore/>
      </w:pPr>
      <w:r>
        <w:lastRenderedPageBreak/>
        <w:t>References</w:t>
      </w:r>
    </w:p>
    <w:p w14:paraId="0E5967B3" w14:textId="77777777" w:rsidR="00193FED" w:rsidRDefault="00464D2A">
      <w:pPr>
        <w:ind w:left="259" w:hanging="259"/>
      </w:pPr>
      <w:r>
        <w:t>[1] H. Ye et al., "Deep reinforcement learning for resource allocation in network slicing," IEEE TMC, vol. 19, no. 8, pp. 1811-1824, 2020.</w:t>
      </w:r>
    </w:p>
    <w:p w14:paraId="16EC00F1" w14:textId="77777777" w:rsidR="00193FED" w:rsidRDefault="00464D2A">
      <w:pPr>
        <w:ind w:left="259" w:hanging="259"/>
      </w:pPr>
      <w:r>
        <w:t>[2] J. Wang et al., "Proximal policy optimization for resource allocation in vehicular networks," IEEE JSAC, vol. 40, no. 1, pp. 275-287, 2022.</w:t>
      </w:r>
    </w:p>
    <w:p w14:paraId="76ECD8E4" w14:textId="77777777" w:rsidR="00193FED" w:rsidRDefault="00464D2A">
      <w:pPr>
        <w:ind w:left="259" w:hanging="259"/>
      </w:pPr>
      <w:r>
        <w:t>[3] L. Bega et al., "Optimizing the admission control policy in LTE networks under traffic uncertainty," IEEE TCOMM, vol. 67, no. 5, pp. 3362-3376, 2019.</w:t>
      </w:r>
    </w:p>
    <w:p w14:paraId="77499DA2" w14:textId="77777777" w:rsidR="00193FED" w:rsidRDefault="00464D2A">
      <w:pPr>
        <w:ind w:left="259" w:hanging="259"/>
      </w:pPr>
      <w:r>
        <w:t>[4] K. Foukas et al., "Network slicing in 5G: An auction-based model," IEEE TMC, vol. 16, no. 11, pp. 3111-3124, 2017.</w:t>
      </w:r>
    </w:p>
    <w:p w14:paraId="5E3144F7" w14:textId="77777777" w:rsidR="00193FED" w:rsidRDefault="00464D2A">
      <w:pPr>
        <w:ind w:left="259" w:hanging="259"/>
      </w:pPr>
      <w:r>
        <w:t>[5] K. Letaief et al., "The roadmap to 6G: Ten physical layer challenges for new spectrum," IEEE Communications Magazine, vol. 59, no. 4, pp. 34-40, 2021.</w:t>
      </w:r>
    </w:p>
    <w:p w14:paraId="232F8DFA" w14:textId="77777777" w:rsidR="00193FED" w:rsidRDefault="00464D2A">
      <w:pPr>
        <w:ind w:left="259" w:hanging="259"/>
      </w:pPr>
      <w:r>
        <w:t>[6] J. Schulman et al., "Proximal policy optimization algorithms," arXiv:1707.06347, 2017.</w:t>
      </w:r>
    </w:p>
    <w:p w14:paraId="726665EA" w14:textId="77777777" w:rsidR="00193FED" w:rsidRDefault="00464D2A">
      <w:pPr>
        <w:ind w:left="259" w:hanging="259"/>
      </w:pPr>
      <w:r>
        <w:t>[7] 3GPP TS 28.530, "Management and orchestration; Architecture framework," 2023.</w:t>
      </w:r>
    </w:p>
    <w:p w14:paraId="5D60C7C1" w14:textId="77777777" w:rsidR="00193FED" w:rsidRDefault="00464D2A">
      <w:pPr>
        <w:ind w:left="259" w:hanging="259"/>
      </w:pPr>
      <w:r>
        <w:t>[8] BEREC, "Guidelines for quality of service in net neutrality," BoR(20)114, 2020.</w:t>
      </w:r>
    </w:p>
    <w:sectPr w:rsidR="00193FED" w:rsidSect="00034616">
      <w:footerReference w:type="default" r:id="rId8"/>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2093D0" w14:textId="77777777" w:rsidR="00464D2A" w:rsidRDefault="00464D2A">
      <w:pPr>
        <w:spacing w:after="0"/>
      </w:pPr>
      <w:r>
        <w:separator/>
      </w:r>
    </w:p>
  </w:endnote>
  <w:endnote w:type="continuationSeparator" w:id="0">
    <w:p w14:paraId="723B5EEA" w14:textId="77777777" w:rsidR="00464D2A" w:rsidRDefault="00464D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04CC5C" w14:textId="192CBBBE" w:rsidR="00193FED" w:rsidRDefault="00464D2A">
    <w:pPr>
      <w:pStyle w:val="Footer"/>
      <w:jc w:val="center"/>
    </w:pPr>
    <w:r>
      <w:fldChar w:fldCharType="begin"/>
    </w:r>
    <w:r>
      <w:instrText>PAGE</w:instrText>
    </w:r>
    <w:r>
      <w:fldChar w:fldCharType="separate"/>
    </w:r>
    <w:r w:rsidR="00D243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A4E2D" w14:textId="77777777" w:rsidR="00464D2A" w:rsidRDefault="00464D2A">
      <w:pPr>
        <w:spacing w:after="0"/>
      </w:pPr>
      <w:r>
        <w:separator/>
      </w:r>
    </w:p>
  </w:footnote>
  <w:footnote w:type="continuationSeparator" w:id="0">
    <w:p w14:paraId="210AE9F1" w14:textId="77777777" w:rsidR="00464D2A" w:rsidRDefault="00464D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382500">
    <w:abstractNumId w:val="8"/>
  </w:num>
  <w:num w:numId="2" w16cid:durableId="1373922823">
    <w:abstractNumId w:val="6"/>
  </w:num>
  <w:num w:numId="3" w16cid:durableId="1239711577">
    <w:abstractNumId w:val="5"/>
  </w:num>
  <w:num w:numId="4" w16cid:durableId="1415856061">
    <w:abstractNumId w:val="4"/>
  </w:num>
  <w:num w:numId="5" w16cid:durableId="270016838">
    <w:abstractNumId w:val="7"/>
  </w:num>
  <w:num w:numId="6" w16cid:durableId="1198618921">
    <w:abstractNumId w:val="3"/>
  </w:num>
  <w:num w:numId="7" w16cid:durableId="1278370402">
    <w:abstractNumId w:val="2"/>
  </w:num>
  <w:num w:numId="8" w16cid:durableId="222913144">
    <w:abstractNumId w:val="1"/>
  </w:num>
  <w:num w:numId="9" w16cid:durableId="6309842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FED"/>
    <w:rsid w:val="0029639D"/>
    <w:rsid w:val="00326F90"/>
    <w:rsid w:val="00464D2A"/>
    <w:rsid w:val="00593172"/>
    <w:rsid w:val="00AA1D8D"/>
    <w:rsid w:val="00B47730"/>
    <w:rsid w:val="00CB0664"/>
    <w:rsid w:val="00D243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349C8BD-EB6F-AA4F-8915-0305BE6A1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after="40"/>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2684</Words>
  <Characters>16092</Characters>
  <Application>Microsoft Office Word</Application>
  <DocSecurity>0</DocSecurity>
  <Lines>234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rao yenamandra</cp:lastModifiedBy>
  <cp:revision>2</cp:revision>
  <dcterms:created xsi:type="dcterms:W3CDTF">2026-08-20T00:27:00Z</dcterms:created>
  <dcterms:modified xsi:type="dcterms:W3CDTF">2026-08-20T00:27:00Z</dcterms:modified>
  <cp:category/>
</cp:coreProperties>
</file>