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88FA6" w14:textId="731B6C5A" w:rsidR="00CC26B1" w:rsidRDefault="00000000">
      <w:pPr>
        <w:spacing w:after="60"/>
        <w:jc w:val="center"/>
      </w:pPr>
      <w:r>
        <w:rPr>
          <w:b/>
          <w:bCs/>
          <w:sz w:val="32"/>
          <w:szCs w:val="32"/>
        </w:rPr>
        <w:t>Single-Step Contextual Proximal Policy Optimization:</w:t>
      </w:r>
    </w:p>
    <w:p w14:paraId="134BAC19" w14:textId="0D44C7D8" w:rsidR="00CC26B1" w:rsidRDefault="00000000">
      <w:pPr>
        <w:spacing w:after="60"/>
        <w:jc w:val="center"/>
      </w:pPr>
      <w:r>
        <w:rPr>
          <w:b/>
          <w:bCs/>
          <w:sz w:val="32"/>
          <w:szCs w:val="32"/>
        </w:rPr>
        <w:t xml:space="preserve">Formulation with a Five-Dimensional </w:t>
      </w:r>
      <w:r w:rsidR="0045059F">
        <w:rPr>
          <w:b/>
          <w:bCs/>
          <w:sz w:val="32"/>
          <w:szCs w:val="32"/>
        </w:rPr>
        <w:t xml:space="preserve">6G RAN </w:t>
      </w:r>
      <w:r>
        <w:rPr>
          <w:b/>
          <w:bCs/>
          <w:sz w:val="32"/>
          <w:szCs w:val="32"/>
        </w:rPr>
        <w:t>Context Vector</w:t>
      </w:r>
    </w:p>
    <w:p w14:paraId="5915F7EC" w14:textId="77777777" w:rsidR="00CC26B1" w:rsidRDefault="00000000">
      <w:pPr>
        <w:spacing w:before="200" w:after="40"/>
        <w:jc w:val="center"/>
      </w:pPr>
      <w:r>
        <w:rPr>
          <w:sz w:val="22"/>
          <w:szCs w:val="22"/>
        </w:rPr>
        <w:t>Rao S. Yenamandra</w:t>
      </w:r>
    </w:p>
    <w:p w14:paraId="3AD50575" w14:textId="77777777" w:rsidR="00CC26B1" w:rsidRDefault="00000000">
      <w:pPr>
        <w:spacing w:after="300"/>
        <w:jc w:val="center"/>
      </w:pPr>
      <w:r>
        <w:rPr>
          <w:i/>
          <w:iCs/>
        </w:rPr>
        <w:t>August 2026</w:t>
      </w:r>
    </w:p>
    <w:p w14:paraId="193F227D" w14:textId="77777777" w:rsidR="00CC26B1" w:rsidRDefault="00000000">
      <w:pPr>
        <w:pStyle w:val="Heading2"/>
        <w:spacing w:before="220" w:after="120"/>
      </w:pPr>
      <w:r>
        <w:t>Abstract</w:t>
      </w:r>
    </w:p>
    <w:p w14:paraId="261AC5BE" w14:textId="77777777" w:rsidR="00CC26B1" w:rsidRDefault="00000000">
      <w:pPr>
        <w:spacing w:after="160"/>
        <w:jc w:val="both"/>
      </w:pPr>
      <w:r>
        <w:rPr>
          <w:sz w:val="22"/>
          <w:szCs w:val="22"/>
        </w:rPr>
        <w:t xml:space="preserve">Proximal Policy Optimization (PPO) is most often presented as a full Markov Decision Process (MDP) algorithm, with a discounted return, bootstrapped value targets, and generalized advantage estimation (GAE) over multi-step trajectories. Many practical decision-support systems, however, present the agent with an independent context on each call and require a single immediate action, with no state transition induced by that action. This note derives the PPO objective for that single-step setting, treats it explicitly as a contextual bandit rather than an MDP, and specializes the formulation to a five-dimensional context vector drawn from RAN cell KPIs. The reduction removes the discount factor, the bootstrapped value term, and GAE, leaving a simplified advantage equal to reward minus baseline. The formulation is implemented end-to-end with hand-derived </w:t>
      </w:r>
      <w:proofErr w:type="spellStart"/>
      <w:r>
        <w:rPr>
          <w:sz w:val="22"/>
          <w:szCs w:val="22"/>
        </w:rPr>
        <w:t>backpropagation</w:t>
      </w:r>
      <w:proofErr w:type="spellEnd"/>
      <w:r>
        <w:rPr>
          <w:sz w:val="22"/>
          <w:szCs w:val="22"/>
        </w:rPr>
        <w:t>, trained on a 6 GHz / 200 MHz eMBB-only scenario, and evaluated with a per-KPI gain breakdown.</w:t>
      </w:r>
    </w:p>
    <w:p w14:paraId="6C20C391" w14:textId="77777777" w:rsidR="00CC26B1" w:rsidRDefault="00000000">
      <w:pPr>
        <w:pStyle w:val="Heading1"/>
        <w:spacing w:before="280" w:after="140"/>
      </w:pPr>
      <w:r>
        <w:t>1. Motivation</w:t>
      </w:r>
    </w:p>
    <w:p w14:paraId="3FFB7EB2" w14:textId="77777777" w:rsidR="00CC26B1" w:rsidRDefault="00000000">
      <w:pPr>
        <w:spacing w:after="160"/>
        <w:jc w:val="both"/>
      </w:pPr>
      <w:r>
        <w:rPr>
          <w:sz w:val="22"/>
          <w:szCs w:val="22"/>
        </w:rPr>
        <w:t>Standard PPO is derived for sequential decision-making problems in which the action taken at time t influences the state at time t+1, and the agent's objective is to maximize a discounted sum of future rewards. In several applied settings — inference-only decision engines that map a snapshot of system conditions to a single recommended action, with no dependency between successive calls — this full machinery is unnecessary and, if applied uncritically, can overstate the sophistication of the underlying formulation. The correct model in that case is a contextual bandit: on each round t, a context sₜ is drawn (independently, or from an exogenous process unaffected by the agent), the agent selects an action aₜ, and a reward rₜ is observed; the episode ends there. This paper writes out the PPO objective under that assumption for a context vector of dimension five.</w:t>
      </w:r>
    </w:p>
    <w:p w14:paraId="2E385798" w14:textId="77777777" w:rsidR="00CC26B1" w:rsidRDefault="00000000">
      <w:pPr>
        <w:pStyle w:val="Heading1"/>
        <w:spacing w:before="280" w:after="140"/>
      </w:pPr>
      <w:r>
        <w:t>2. Context and Policy</w:t>
      </w:r>
    </w:p>
    <w:p w14:paraId="42852F65" w14:textId="77777777" w:rsidR="00CC26B1" w:rsidRDefault="00000000">
      <w:pPr>
        <w:spacing w:after="160"/>
        <w:jc w:val="both"/>
      </w:pPr>
      <w:r>
        <w:rPr>
          <w:sz w:val="22"/>
          <w:szCs w:val="22"/>
        </w:rPr>
        <w:t>The agent observes a context vector</w:t>
      </w:r>
    </w:p>
    <w:tbl>
      <w:tblPr>
        <w:tblW w:w="9350" w:type="dxa"/>
        <w:tblCellMar>
          <w:left w:w="10" w:type="dxa"/>
          <w:right w:w="10" w:type="dxa"/>
        </w:tblCellMar>
        <w:tblLook w:val="04A0" w:firstRow="1" w:lastRow="0" w:firstColumn="1" w:lastColumn="0" w:noHBand="0" w:noVBand="1"/>
      </w:tblPr>
      <w:tblGrid>
        <w:gridCol w:w="8350"/>
        <w:gridCol w:w="1000"/>
      </w:tblGrid>
      <w:tr w:rsidR="00CC26B1" w14:paraId="40AF2DA0" w14:textId="77777777">
        <w:tblPrEx>
          <w:tblCellMar>
            <w:top w:w="0" w:type="dxa"/>
            <w:bottom w:w="0" w:type="dxa"/>
          </w:tblCellMar>
        </w:tblPrEx>
        <w:tc>
          <w:tcPr>
            <w:tcW w:w="8350" w:type="dxa"/>
            <w:vAlign w:val="center"/>
          </w:tcPr>
          <w:p w14:paraId="0A7812FB" w14:textId="77777777" w:rsidR="00CC26B1" w:rsidRDefault="00000000">
            <w:pPr>
              <w:jc w:val="center"/>
            </w:pPr>
            <w:r>
              <w:rPr>
                <w:noProof/>
              </w:rPr>
              <w:drawing>
                <wp:inline distT="0" distB="0" distL="0" distR="0" wp14:anchorId="11B9BC5C" wp14:editId="1D7BCED2">
                  <wp:extent cx="1543050" cy="16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43050" cy="161925"/>
                          </a:xfrm>
                          <a:prstGeom prst="rect">
                            <a:avLst/>
                          </a:prstGeom>
                        </pic:spPr>
                      </pic:pic>
                    </a:graphicData>
                  </a:graphic>
                </wp:inline>
              </w:drawing>
            </w:r>
          </w:p>
        </w:tc>
        <w:tc>
          <w:tcPr>
            <w:tcW w:w="1000" w:type="dxa"/>
            <w:vAlign w:val="center"/>
          </w:tcPr>
          <w:p w14:paraId="3B7CE021" w14:textId="77777777" w:rsidR="00CC26B1" w:rsidRDefault="00000000">
            <w:pPr>
              <w:jc w:val="right"/>
            </w:pPr>
            <w:r>
              <w:t>(1)</w:t>
            </w:r>
          </w:p>
        </w:tc>
      </w:tr>
    </w:tbl>
    <w:p w14:paraId="1B763296" w14:textId="77777777" w:rsidR="00CC26B1" w:rsidRDefault="00000000">
      <w:pPr>
        <w:spacing w:after="160"/>
        <w:jc w:val="both"/>
      </w:pPr>
      <w:r>
        <w:rPr>
          <w:sz w:val="22"/>
          <w:szCs w:val="22"/>
        </w:rPr>
        <w:t>where x₁,…,x₅ are five real-valued features of the system state at decision time t. No assumption is made that sₜ₊₁ depends on aₜ; contexts are treated as i.i.d. draws (or draws from a process external to the agent).</w:t>
      </w:r>
    </w:p>
    <w:p w14:paraId="207F67B5" w14:textId="77777777" w:rsidR="00CC26B1" w:rsidRDefault="00000000">
      <w:pPr>
        <w:spacing w:after="160"/>
        <w:jc w:val="both"/>
      </w:pPr>
      <w:r>
        <w:rPr>
          <w:sz w:val="22"/>
          <w:szCs w:val="22"/>
        </w:rPr>
        <w:t>The policy is a stochastic mapping from context to action,</w:t>
      </w:r>
    </w:p>
    <w:tbl>
      <w:tblPr>
        <w:tblW w:w="9350" w:type="dxa"/>
        <w:tblCellMar>
          <w:left w:w="10" w:type="dxa"/>
          <w:right w:w="10" w:type="dxa"/>
        </w:tblCellMar>
        <w:tblLook w:val="04A0" w:firstRow="1" w:lastRow="0" w:firstColumn="1" w:lastColumn="0" w:noHBand="0" w:noVBand="1"/>
      </w:tblPr>
      <w:tblGrid>
        <w:gridCol w:w="8350"/>
        <w:gridCol w:w="1000"/>
      </w:tblGrid>
      <w:tr w:rsidR="00CC26B1" w14:paraId="4B657E06" w14:textId="77777777">
        <w:tblPrEx>
          <w:tblCellMar>
            <w:top w:w="0" w:type="dxa"/>
            <w:bottom w:w="0" w:type="dxa"/>
          </w:tblCellMar>
        </w:tblPrEx>
        <w:tc>
          <w:tcPr>
            <w:tcW w:w="8350" w:type="dxa"/>
            <w:vAlign w:val="center"/>
          </w:tcPr>
          <w:p w14:paraId="52BA3B9B" w14:textId="77777777" w:rsidR="00CC26B1" w:rsidRDefault="00000000">
            <w:pPr>
              <w:jc w:val="center"/>
            </w:pPr>
            <w:r>
              <w:rPr>
                <w:noProof/>
              </w:rPr>
              <w:drawing>
                <wp:inline distT="0" distB="0" distL="0" distR="0" wp14:anchorId="31BA0703" wp14:editId="48ABC4D2">
                  <wp:extent cx="571500" cy="152400"/>
                  <wp:effectExtent l="0" t="0" r="0" b="0"/>
                  <wp:docPr id="943113534" name="Picture 943113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 cy="152400"/>
                          </a:xfrm>
                          <a:prstGeom prst="rect">
                            <a:avLst/>
                          </a:prstGeom>
                        </pic:spPr>
                      </pic:pic>
                    </a:graphicData>
                  </a:graphic>
                </wp:inline>
              </w:drawing>
            </w:r>
          </w:p>
        </w:tc>
        <w:tc>
          <w:tcPr>
            <w:tcW w:w="1000" w:type="dxa"/>
            <w:vAlign w:val="center"/>
          </w:tcPr>
          <w:p w14:paraId="4D8D93A2" w14:textId="77777777" w:rsidR="00CC26B1" w:rsidRDefault="00000000">
            <w:pPr>
              <w:jc w:val="right"/>
            </w:pPr>
            <w:r>
              <w:t>(2)</w:t>
            </w:r>
          </w:p>
        </w:tc>
      </w:tr>
    </w:tbl>
    <w:p w14:paraId="0FA093A9" w14:textId="77777777" w:rsidR="00CC26B1" w:rsidRDefault="00000000">
      <w:pPr>
        <w:spacing w:after="160"/>
        <w:jc w:val="both"/>
      </w:pPr>
      <w:r>
        <w:rPr>
          <w:sz w:val="22"/>
          <w:szCs w:val="22"/>
        </w:rPr>
        <w:t>parameterized by θ (e.g. the weights of a small feed-forward network taking the five-dimensional input above and producing a categorical or Gaussian distribution over actions).</w:t>
      </w:r>
    </w:p>
    <w:p w14:paraId="1E4D67F4" w14:textId="77777777" w:rsidR="00CC26B1" w:rsidRDefault="00000000">
      <w:pPr>
        <w:pStyle w:val="Heading1"/>
        <w:spacing w:before="280" w:after="140"/>
      </w:pPr>
      <w:r>
        <w:t>3. Reward and Value</w:t>
      </w:r>
    </w:p>
    <w:p w14:paraId="1A99BFE7" w14:textId="77777777" w:rsidR="00CC26B1" w:rsidRDefault="00000000">
      <w:pPr>
        <w:spacing w:after="160"/>
        <w:jc w:val="both"/>
      </w:pPr>
      <w:r>
        <w:rPr>
          <w:sz w:val="22"/>
          <w:szCs w:val="22"/>
        </w:rPr>
        <w:t>Each round yields an immediate scalar reward</w:t>
      </w:r>
    </w:p>
    <w:tbl>
      <w:tblPr>
        <w:tblW w:w="9350" w:type="dxa"/>
        <w:tblCellMar>
          <w:left w:w="10" w:type="dxa"/>
          <w:right w:w="10" w:type="dxa"/>
        </w:tblCellMar>
        <w:tblLook w:val="04A0" w:firstRow="1" w:lastRow="0" w:firstColumn="1" w:lastColumn="0" w:noHBand="0" w:noVBand="1"/>
      </w:tblPr>
      <w:tblGrid>
        <w:gridCol w:w="8350"/>
        <w:gridCol w:w="1000"/>
      </w:tblGrid>
      <w:tr w:rsidR="00CC26B1" w14:paraId="0C7D449C" w14:textId="77777777">
        <w:tblPrEx>
          <w:tblCellMar>
            <w:top w:w="0" w:type="dxa"/>
            <w:bottom w:w="0" w:type="dxa"/>
          </w:tblCellMar>
        </w:tblPrEx>
        <w:tc>
          <w:tcPr>
            <w:tcW w:w="8350" w:type="dxa"/>
            <w:vAlign w:val="center"/>
          </w:tcPr>
          <w:p w14:paraId="1763C69B" w14:textId="77777777" w:rsidR="00CC26B1" w:rsidRDefault="00000000">
            <w:pPr>
              <w:jc w:val="center"/>
            </w:pPr>
            <w:r>
              <w:rPr>
                <w:noProof/>
              </w:rPr>
              <w:drawing>
                <wp:inline distT="0" distB="0" distL="0" distR="0" wp14:anchorId="00AA981D" wp14:editId="2B9A52A0">
                  <wp:extent cx="762000" cy="152400"/>
                  <wp:effectExtent l="0" t="0" r="0" b="0"/>
                  <wp:docPr id="1521561215" name="Picture 152156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152400"/>
                          </a:xfrm>
                          <a:prstGeom prst="rect">
                            <a:avLst/>
                          </a:prstGeom>
                        </pic:spPr>
                      </pic:pic>
                    </a:graphicData>
                  </a:graphic>
                </wp:inline>
              </w:drawing>
            </w:r>
          </w:p>
        </w:tc>
        <w:tc>
          <w:tcPr>
            <w:tcW w:w="1000" w:type="dxa"/>
            <w:vAlign w:val="center"/>
          </w:tcPr>
          <w:p w14:paraId="69C6D8EF" w14:textId="77777777" w:rsidR="00CC26B1" w:rsidRDefault="00000000">
            <w:pPr>
              <w:jc w:val="right"/>
            </w:pPr>
            <w:r>
              <w:t>(3)</w:t>
            </w:r>
          </w:p>
        </w:tc>
      </w:tr>
    </w:tbl>
    <w:p w14:paraId="3CBDCAD8" w14:textId="77777777" w:rsidR="00CC26B1" w:rsidRDefault="00000000">
      <w:pPr>
        <w:spacing w:after="160"/>
        <w:jc w:val="both"/>
      </w:pPr>
      <w:r>
        <w:rPr>
          <w:sz w:val="22"/>
          <w:szCs w:val="22"/>
        </w:rPr>
        <w:t>Because the horizon is one step, there is no future return to account for: the discount factor is effectively γ = 0, and the value function collapses to the expected immediate reward under the current policy,</w:t>
      </w:r>
    </w:p>
    <w:tbl>
      <w:tblPr>
        <w:tblW w:w="9350" w:type="dxa"/>
        <w:tblCellMar>
          <w:left w:w="10" w:type="dxa"/>
          <w:right w:w="10" w:type="dxa"/>
        </w:tblCellMar>
        <w:tblLook w:val="04A0" w:firstRow="1" w:lastRow="0" w:firstColumn="1" w:lastColumn="0" w:noHBand="0" w:noVBand="1"/>
      </w:tblPr>
      <w:tblGrid>
        <w:gridCol w:w="8350"/>
        <w:gridCol w:w="1000"/>
      </w:tblGrid>
      <w:tr w:rsidR="00CC26B1" w14:paraId="004D1BA5" w14:textId="77777777">
        <w:tblPrEx>
          <w:tblCellMar>
            <w:top w:w="0" w:type="dxa"/>
            <w:bottom w:w="0" w:type="dxa"/>
          </w:tblCellMar>
        </w:tblPrEx>
        <w:tc>
          <w:tcPr>
            <w:tcW w:w="8350" w:type="dxa"/>
            <w:vAlign w:val="center"/>
          </w:tcPr>
          <w:p w14:paraId="581BA6D2" w14:textId="77777777" w:rsidR="00CC26B1" w:rsidRDefault="00000000">
            <w:pPr>
              <w:jc w:val="center"/>
            </w:pPr>
            <w:r>
              <w:rPr>
                <w:noProof/>
              </w:rPr>
              <w:drawing>
                <wp:inline distT="0" distB="0" distL="0" distR="0" wp14:anchorId="5A607F8B" wp14:editId="4309DE69">
                  <wp:extent cx="1295400" cy="161925"/>
                  <wp:effectExtent l="0" t="0" r="0" b="0"/>
                  <wp:docPr id="543750248" name="Picture 54375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95400" cy="161925"/>
                          </a:xfrm>
                          <a:prstGeom prst="rect">
                            <a:avLst/>
                          </a:prstGeom>
                        </pic:spPr>
                      </pic:pic>
                    </a:graphicData>
                  </a:graphic>
                </wp:inline>
              </w:drawing>
            </w:r>
          </w:p>
        </w:tc>
        <w:tc>
          <w:tcPr>
            <w:tcW w:w="1000" w:type="dxa"/>
            <w:vAlign w:val="center"/>
          </w:tcPr>
          <w:p w14:paraId="37DBA4C6" w14:textId="77777777" w:rsidR="00CC26B1" w:rsidRDefault="00000000">
            <w:pPr>
              <w:jc w:val="right"/>
            </w:pPr>
            <w:r>
              <w:t>(4)</w:t>
            </w:r>
          </w:p>
        </w:tc>
      </w:tr>
    </w:tbl>
    <w:p w14:paraId="292A4902" w14:textId="77777777" w:rsidR="00CC26B1" w:rsidRDefault="00000000">
      <w:pPr>
        <w:spacing w:after="160"/>
        <w:jc w:val="both"/>
      </w:pPr>
      <w:r>
        <w:rPr>
          <w:sz w:val="22"/>
          <w:szCs w:val="22"/>
        </w:rPr>
        <w:t>parameterized by φ. Vᵡ serves purely as a variance-reduction baseline; it is not a bootstrapped estimate of any downstream state value, since none exists.</w:t>
      </w:r>
    </w:p>
    <w:p w14:paraId="563F90D1" w14:textId="77777777" w:rsidR="00CC26B1" w:rsidRDefault="00000000">
      <w:pPr>
        <w:pStyle w:val="Heading1"/>
        <w:spacing w:before="280" w:after="140"/>
      </w:pPr>
      <w:r>
        <w:t>4. Advantage</w:t>
      </w:r>
    </w:p>
    <w:p w14:paraId="5FA387E7" w14:textId="77777777" w:rsidR="00CC26B1" w:rsidRDefault="00000000">
      <w:pPr>
        <w:spacing w:after="160"/>
        <w:jc w:val="both"/>
      </w:pPr>
      <w:r>
        <w:rPr>
          <w:sz w:val="22"/>
          <w:szCs w:val="22"/>
        </w:rPr>
        <w:t>With no subsequent state to bootstrap from, the advantage estimate requires neither multi-step returns nor GAE. It reduces to</w:t>
      </w:r>
    </w:p>
    <w:tbl>
      <w:tblPr>
        <w:tblW w:w="9350" w:type="dxa"/>
        <w:tblCellMar>
          <w:left w:w="10" w:type="dxa"/>
          <w:right w:w="10" w:type="dxa"/>
        </w:tblCellMar>
        <w:tblLook w:val="04A0" w:firstRow="1" w:lastRow="0" w:firstColumn="1" w:lastColumn="0" w:noHBand="0" w:noVBand="1"/>
      </w:tblPr>
      <w:tblGrid>
        <w:gridCol w:w="8350"/>
        <w:gridCol w:w="1000"/>
      </w:tblGrid>
      <w:tr w:rsidR="00CC26B1" w14:paraId="35E68747" w14:textId="77777777">
        <w:tblPrEx>
          <w:tblCellMar>
            <w:top w:w="0" w:type="dxa"/>
            <w:bottom w:w="0" w:type="dxa"/>
          </w:tblCellMar>
        </w:tblPrEx>
        <w:tc>
          <w:tcPr>
            <w:tcW w:w="8350" w:type="dxa"/>
            <w:vAlign w:val="center"/>
          </w:tcPr>
          <w:p w14:paraId="1FA18AED" w14:textId="77777777" w:rsidR="00CC26B1" w:rsidRDefault="00000000">
            <w:pPr>
              <w:jc w:val="center"/>
            </w:pPr>
            <w:r>
              <w:rPr>
                <w:noProof/>
              </w:rPr>
              <w:drawing>
                <wp:inline distT="0" distB="0" distL="0" distR="0" wp14:anchorId="6CA63B62" wp14:editId="40410541">
                  <wp:extent cx="933450" cy="161925"/>
                  <wp:effectExtent l="0" t="0" r="0" b="0"/>
                  <wp:docPr id="1608670988" name="Picture 16086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33450" cy="161925"/>
                          </a:xfrm>
                          <a:prstGeom prst="rect">
                            <a:avLst/>
                          </a:prstGeom>
                        </pic:spPr>
                      </pic:pic>
                    </a:graphicData>
                  </a:graphic>
                </wp:inline>
              </w:drawing>
            </w:r>
          </w:p>
        </w:tc>
        <w:tc>
          <w:tcPr>
            <w:tcW w:w="1000" w:type="dxa"/>
            <w:vAlign w:val="center"/>
          </w:tcPr>
          <w:p w14:paraId="135B700E" w14:textId="77777777" w:rsidR="00CC26B1" w:rsidRDefault="00000000">
            <w:pPr>
              <w:jc w:val="right"/>
            </w:pPr>
            <w:r>
              <w:t>(5)</w:t>
            </w:r>
          </w:p>
        </w:tc>
      </w:tr>
    </w:tbl>
    <w:p w14:paraId="67E07F7D" w14:textId="77777777" w:rsidR="00CC26B1" w:rsidRDefault="00000000">
      <w:pPr>
        <w:spacing w:after="160"/>
        <w:jc w:val="both"/>
      </w:pPr>
      <w:r>
        <w:rPr>
          <w:sz w:val="22"/>
          <w:szCs w:val="22"/>
        </w:rPr>
        <w:t>This is the single structural simplification that most clearly distinguishes the bandit formulation from full-MDP PPO: Aₜ is a one-line reward-minus-baseline quantity, rather than a λ-weighted sum of temporal-difference residuals across a trajectory.</w:t>
      </w:r>
    </w:p>
    <w:p w14:paraId="2A87D04E" w14:textId="77777777" w:rsidR="00CC26B1" w:rsidRDefault="00000000">
      <w:pPr>
        <w:pStyle w:val="Heading1"/>
        <w:spacing w:before="280" w:after="140"/>
      </w:pPr>
      <w:r>
        <w:t>5. PPO Objective</w:t>
      </w:r>
    </w:p>
    <w:p w14:paraId="374EF769" w14:textId="77777777" w:rsidR="00CC26B1" w:rsidRDefault="00000000">
      <w:pPr>
        <w:spacing w:after="160"/>
        <w:jc w:val="both"/>
      </w:pPr>
      <w:r>
        <w:rPr>
          <w:sz w:val="22"/>
          <w:szCs w:val="22"/>
        </w:rPr>
        <w:t>The probability ratio between the current and previous policy is</w:t>
      </w:r>
    </w:p>
    <w:tbl>
      <w:tblPr>
        <w:tblW w:w="9350" w:type="dxa"/>
        <w:tblCellMar>
          <w:left w:w="10" w:type="dxa"/>
          <w:right w:w="10" w:type="dxa"/>
        </w:tblCellMar>
        <w:tblLook w:val="04A0" w:firstRow="1" w:lastRow="0" w:firstColumn="1" w:lastColumn="0" w:noHBand="0" w:noVBand="1"/>
      </w:tblPr>
      <w:tblGrid>
        <w:gridCol w:w="8350"/>
        <w:gridCol w:w="1000"/>
      </w:tblGrid>
      <w:tr w:rsidR="00CC26B1" w14:paraId="6BF18878" w14:textId="77777777">
        <w:tblPrEx>
          <w:tblCellMar>
            <w:top w:w="0" w:type="dxa"/>
            <w:bottom w:w="0" w:type="dxa"/>
          </w:tblCellMar>
        </w:tblPrEx>
        <w:tc>
          <w:tcPr>
            <w:tcW w:w="8350" w:type="dxa"/>
            <w:vAlign w:val="center"/>
          </w:tcPr>
          <w:p w14:paraId="6B763E06" w14:textId="77777777" w:rsidR="00CC26B1" w:rsidRDefault="00000000">
            <w:pPr>
              <w:jc w:val="center"/>
            </w:pPr>
            <w:r>
              <w:rPr>
                <w:noProof/>
              </w:rPr>
              <w:drawing>
                <wp:inline distT="0" distB="0" distL="0" distR="0" wp14:anchorId="1973629C" wp14:editId="7A9AC5E6">
                  <wp:extent cx="990600" cy="276225"/>
                  <wp:effectExtent l="0" t="0" r="0" b="0"/>
                  <wp:docPr id="1201176960" name="Picture 120117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90600" cy="276225"/>
                          </a:xfrm>
                          <a:prstGeom prst="rect">
                            <a:avLst/>
                          </a:prstGeom>
                        </pic:spPr>
                      </pic:pic>
                    </a:graphicData>
                  </a:graphic>
                </wp:inline>
              </w:drawing>
            </w:r>
          </w:p>
        </w:tc>
        <w:tc>
          <w:tcPr>
            <w:tcW w:w="1000" w:type="dxa"/>
            <w:vAlign w:val="center"/>
          </w:tcPr>
          <w:p w14:paraId="323665F0" w14:textId="77777777" w:rsidR="00CC26B1" w:rsidRDefault="00000000">
            <w:pPr>
              <w:jc w:val="right"/>
            </w:pPr>
            <w:r>
              <w:t>(6)</w:t>
            </w:r>
          </w:p>
        </w:tc>
      </w:tr>
    </w:tbl>
    <w:p w14:paraId="2C0D4D18" w14:textId="77777777" w:rsidR="00CC26B1" w:rsidRDefault="00000000">
      <w:pPr>
        <w:spacing w:after="160"/>
        <w:jc w:val="both"/>
      </w:pPr>
      <w:r>
        <w:rPr>
          <w:sz w:val="22"/>
          <w:szCs w:val="22"/>
        </w:rPr>
        <w:t>The clipped surrogate objective is unchanged in form from the standard PPO derivation, with Aₜ taken from the advantage equation above:</w:t>
      </w:r>
    </w:p>
    <w:tbl>
      <w:tblPr>
        <w:tblW w:w="9350" w:type="dxa"/>
        <w:tblCellMar>
          <w:left w:w="10" w:type="dxa"/>
          <w:right w:w="10" w:type="dxa"/>
        </w:tblCellMar>
        <w:tblLook w:val="04A0" w:firstRow="1" w:lastRow="0" w:firstColumn="1" w:lastColumn="0" w:noHBand="0" w:noVBand="1"/>
      </w:tblPr>
      <w:tblGrid>
        <w:gridCol w:w="8350"/>
        <w:gridCol w:w="1000"/>
      </w:tblGrid>
      <w:tr w:rsidR="00CC26B1" w14:paraId="1238A126" w14:textId="77777777">
        <w:tblPrEx>
          <w:tblCellMar>
            <w:top w:w="0" w:type="dxa"/>
            <w:bottom w:w="0" w:type="dxa"/>
          </w:tblCellMar>
        </w:tblPrEx>
        <w:tc>
          <w:tcPr>
            <w:tcW w:w="8350" w:type="dxa"/>
            <w:vAlign w:val="center"/>
          </w:tcPr>
          <w:p w14:paraId="155361F8" w14:textId="77777777" w:rsidR="00CC26B1" w:rsidRDefault="00000000">
            <w:pPr>
              <w:jc w:val="center"/>
            </w:pPr>
            <w:r>
              <w:rPr>
                <w:noProof/>
              </w:rPr>
              <w:drawing>
                <wp:inline distT="0" distB="0" distL="0" distR="0" wp14:anchorId="1EA6F07C" wp14:editId="05647621">
                  <wp:extent cx="2362200" cy="180975"/>
                  <wp:effectExtent l="0" t="0" r="0" b="0"/>
                  <wp:docPr id="1727593453" name="Picture 172759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62200" cy="180975"/>
                          </a:xfrm>
                          <a:prstGeom prst="rect">
                            <a:avLst/>
                          </a:prstGeom>
                        </pic:spPr>
                      </pic:pic>
                    </a:graphicData>
                  </a:graphic>
                </wp:inline>
              </w:drawing>
            </w:r>
          </w:p>
        </w:tc>
        <w:tc>
          <w:tcPr>
            <w:tcW w:w="1000" w:type="dxa"/>
            <w:vAlign w:val="center"/>
          </w:tcPr>
          <w:p w14:paraId="3AE22F2D" w14:textId="77777777" w:rsidR="00CC26B1" w:rsidRDefault="00000000">
            <w:pPr>
              <w:jc w:val="right"/>
            </w:pPr>
            <w:r>
              <w:t>(7)</w:t>
            </w:r>
          </w:p>
        </w:tc>
      </w:tr>
    </w:tbl>
    <w:p w14:paraId="218AF371" w14:textId="77777777" w:rsidR="00CC26B1" w:rsidRDefault="00000000">
      <w:pPr>
        <w:spacing w:after="160"/>
        <w:jc w:val="both"/>
      </w:pPr>
      <w:r>
        <w:rPr>
          <w:sz w:val="22"/>
          <w:szCs w:val="22"/>
        </w:rPr>
        <w:t>where ε is the clip range (typically 0.1–0.2). The critic is trained by regression onto the observed immediate reward rather than a bootstrapped target:</w:t>
      </w:r>
    </w:p>
    <w:tbl>
      <w:tblPr>
        <w:tblW w:w="9350" w:type="dxa"/>
        <w:tblCellMar>
          <w:left w:w="10" w:type="dxa"/>
          <w:right w:w="10" w:type="dxa"/>
        </w:tblCellMar>
        <w:tblLook w:val="04A0" w:firstRow="1" w:lastRow="0" w:firstColumn="1" w:lastColumn="0" w:noHBand="0" w:noVBand="1"/>
      </w:tblPr>
      <w:tblGrid>
        <w:gridCol w:w="8350"/>
        <w:gridCol w:w="1000"/>
      </w:tblGrid>
      <w:tr w:rsidR="00CC26B1" w14:paraId="5347A570" w14:textId="77777777">
        <w:tblPrEx>
          <w:tblCellMar>
            <w:top w:w="0" w:type="dxa"/>
            <w:bottom w:w="0" w:type="dxa"/>
          </w:tblCellMar>
        </w:tblPrEx>
        <w:tc>
          <w:tcPr>
            <w:tcW w:w="8350" w:type="dxa"/>
            <w:vAlign w:val="center"/>
          </w:tcPr>
          <w:p w14:paraId="6AA9F836" w14:textId="77777777" w:rsidR="00CC26B1" w:rsidRDefault="00000000">
            <w:pPr>
              <w:jc w:val="center"/>
            </w:pPr>
            <w:r>
              <w:rPr>
                <w:noProof/>
              </w:rPr>
              <w:drawing>
                <wp:inline distT="0" distB="0" distL="0" distR="0" wp14:anchorId="7A14827D" wp14:editId="7FDEDF94">
                  <wp:extent cx="1609725" cy="180975"/>
                  <wp:effectExtent l="0" t="0" r="0" b="0"/>
                  <wp:docPr id="319312186" name="Picture 31931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09725" cy="180975"/>
                          </a:xfrm>
                          <a:prstGeom prst="rect">
                            <a:avLst/>
                          </a:prstGeom>
                        </pic:spPr>
                      </pic:pic>
                    </a:graphicData>
                  </a:graphic>
                </wp:inline>
              </w:drawing>
            </w:r>
          </w:p>
        </w:tc>
        <w:tc>
          <w:tcPr>
            <w:tcW w:w="1000" w:type="dxa"/>
            <w:vAlign w:val="center"/>
          </w:tcPr>
          <w:p w14:paraId="15A4185F" w14:textId="77777777" w:rsidR="00CC26B1" w:rsidRDefault="00000000">
            <w:pPr>
              <w:jc w:val="right"/>
            </w:pPr>
            <w:r>
              <w:t>(8)</w:t>
            </w:r>
          </w:p>
        </w:tc>
      </w:tr>
    </w:tbl>
    <w:p w14:paraId="7EA2AAFA" w14:textId="77777777" w:rsidR="00CC26B1" w:rsidRDefault="00000000">
      <w:pPr>
        <w:spacing w:after="160"/>
        <w:jc w:val="both"/>
      </w:pPr>
      <w:r>
        <w:rPr>
          <w:sz w:val="22"/>
          <w:szCs w:val="22"/>
        </w:rPr>
        <w:t>The total loss combines the clipped policy objective, the critic loss, and an entropy bonus that discourages premature convergence to a deterministic policy:</w:t>
      </w:r>
    </w:p>
    <w:tbl>
      <w:tblPr>
        <w:tblW w:w="9350" w:type="dxa"/>
        <w:tblCellMar>
          <w:left w:w="10" w:type="dxa"/>
          <w:right w:w="10" w:type="dxa"/>
        </w:tblCellMar>
        <w:tblLook w:val="04A0" w:firstRow="1" w:lastRow="0" w:firstColumn="1" w:lastColumn="0" w:noHBand="0" w:noVBand="1"/>
      </w:tblPr>
      <w:tblGrid>
        <w:gridCol w:w="8350"/>
        <w:gridCol w:w="1000"/>
      </w:tblGrid>
      <w:tr w:rsidR="00CC26B1" w14:paraId="47318493" w14:textId="77777777">
        <w:tblPrEx>
          <w:tblCellMar>
            <w:top w:w="0" w:type="dxa"/>
            <w:bottom w:w="0" w:type="dxa"/>
          </w:tblCellMar>
        </w:tblPrEx>
        <w:tc>
          <w:tcPr>
            <w:tcW w:w="8350" w:type="dxa"/>
            <w:vAlign w:val="center"/>
          </w:tcPr>
          <w:p w14:paraId="41862B3C" w14:textId="77777777" w:rsidR="00CC26B1" w:rsidRDefault="00000000">
            <w:pPr>
              <w:jc w:val="center"/>
            </w:pPr>
            <w:r>
              <w:rPr>
                <w:noProof/>
              </w:rPr>
              <w:drawing>
                <wp:inline distT="0" distB="0" distL="0" distR="0" wp14:anchorId="24343FCE" wp14:editId="0380923D">
                  <wp:extent cx="2628900" cy="152400"/>
                  <wp:effectExtent l="0" t="0" r="0" b="0"/>
                  <wp:docPr id="934406518" name="Picture 93440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28900" cy="152400"/>
                          </a:xfrm>
                          <a:prstGeom prst="rect">
                            <a:avLst/>
                          </a:prstGeom>
                        </pic:spPr>
                      </pic:pic>
                    </a:graphicData>
                  </a:graphic>
                </wp:inline>
              </w:drawing>
            </w:r>
          </w:p>
        </w:tc>
        <w:tc>
          <w:tcPr>
            <w:tcW w:w="1000" w:type="dxa"/>
            <w:vAlign w:val="center"/>
          </w:tcPr>
          <w:p w14:paraId="533584B9" w14:textId="77777777" w:rsidR="00CC26B1" w:rsidRDefault="00000000">
            <w:pPr>
              <w:jc w:val="right"/>
            </w:pPr>
            <w:r>
              <w:t>(9)</w:t>
            </w:r>
          </w:p>
        </w:tc>
      </w:tr>
    </w:tbl>
    <w:p w14:paraId="51B7CD4C" w14:textId="77777777" w:rsidR="00CC26B1" w:rsidRDefault="00000000">
      <w:pPr>
        <w:spacing w:after="160"/>
        <w:jc w:val="both"/>
      </w:pPr>
      <w:r>
        <w:rPr>
          <w:sz w:val="22"/>
          <w:szCs w:val="22"/>
        </w:rPr>
        <w:t>with coefficients c₁, c₂ &gt; 0 and ℋ(·) the policy entropy.</w:t>
      </w:r>
    </w:p>
    <w:p w14:paraId="134BCAE8" w14:textId="77777777" w:rsidR="00CC26B1" w:rsidRDefault="00000000">
      <w:pPr>
        <w:pStyle w:val="Heading1"/>
        <w:spacing w:before="280" w:after="140"/>
      </w:pPr>
      <w:r>
        <w:t>6. Algorithm</w:t>
      </w:r>
    </w:p>
    <w:p w14:paraId="5DB3E824" w14:textId="77777777" w:rsidR="00CC26B1" w:rsidRDefault="00000000">
      <w:pPr>
        <w:spacing w:after="160"/>
        <w:jc w:val="both"/>
      </w:pPr>
      <w:r>
        <w:rPr>
          <w:sz w:val="22"/>
          <w:szCs w:val="22"/>
        </w:rPr>
        <w:t>Algorithm 1: Single-step PPO (contextual bandit) update</w:t>
      </w:r>
    </w:p>
    <w:p w14:paraId="59DDA051" w14:textId="77777777" w:rsidR="00CC26B1" w:rsidRDefault="00000000">
      <w:pPr>
        <w:shd w:val="clear" w:color="auto" w:fill="F2F2F2"/>
      </w:pPr>
      <w:r>
        <w:rPr>
          <w:rFonts w:ascii="Courier New" w:eastAsia="Courier New" w:hAnsi="Courier New" w:cs="Courier New"/>
          <w:sz w:val="18"/>
          <w:szCs w:val="18"/>
        </w:rPr>
        <w:t>for each rollout batch of size N do</w:t>
      </w:r>
    </w:p>
    <w:p w14:paraId="265C2B34" w14:textId="77777777" w:rsidR="00CC26B1" w:rsidRDefault="00000000">
      <w:pPr>
        <w:shd w:val="clear" w:color="auto" w:fill="F2F2F2"/>
      </w:pPr>
      <w:r>
        <w:rPr>
          <w:rFonts w:ascii="Courier New" w:eastAsia="Courier New" w:hAnsi="Courier New" w:cs="Courier New"/>
          <w:sz w:val="18"/>
          <w:szCs w:val="18"/>
        </w:rPr>
        <w:t xml:space="preserve">    for i = 1 to N do</w:t>
      </w:r>
    </w:p>
    <w:p w14:paraId="38F23352" w14:textId="77777777" w:rsidR="00CC26B1" w:rsidRDefault="00000000">
      <w:pPr>
        <w:shd w:val="clear" w:color="auto" w:fill="F2F2F2"/>
      </w:pPr>
      <w:r>
        <w:rPr>
          <w:rFonts w:ascii="Courier New" w:eastAsia="Courier New" w:hAnsi="Courier New" w:cs="Courier New"/>
          <w:sz w:val="18"/>
          <w:szCs w:val="18"/>
        </w:rPr>
        <w:t xml:space="preserve">        Observe context s_i = [x1,...,x5]</w:t>
      </w:r>
    </w:p>
    <w:p w14:paraId="3EA7AAEE" w14:textId="77777777" w:rsidR="00CC26B1" w:rsidRDefault="00000000">
      <w:pPr>
        <w:shd w:val="clear" w:color="auto" w:fill="F2F2F2"/>
      </w:pPr>
      <w:r>
        <w:rPr>
          <w:rFonts w:ascii="Courier New" w:eastAsia="Courier New" w:hAnsi="Courier New" w:cs="Courier New"/>
          <w:sz w:val="18"/>
          <w:szCs w:val="18"/>
        </w:rPr>
        <w:t xml:space="preserve">        Sample action a_i ~ pi_theta_old( . | s_i)</w:t>
      </w:r>
    </w:p>
    <w:p w14:paraId="415533A5" w14:textId="77777777" w:rsidR="00CC26B1" w:rsidRDefault="00000000">
      <w:pPr>
        <w:shd w:val="clear" w:color="auto" w:fill="F2F2F2"/>
      </w:pPr>
      <w:r>
        <w:rPr>
          <w:rFonts w:ascii="Courier New" w:eastAsia="Courier New" w:hAnsi="Courier New" w:cs="Courier New"/>
          <w:sz w:val="18"/>
          <w:szCs w:val="18"/>
        </w:rPr>
        <w:t xml:space="preserve">        Observe reward r_i = R(s_i, a_i)</w:t>
      </w:r>
    </w:p>
    <w:p w14:paraId="7CAB09D8" w14:textId="77777777" w:rsidR="00CC26B1" w:rsidRDefault="00000000">
      <w:pPr>
        <w:shd w:val="clear" w:color="auto" w:fill="F2F2F2"/>
      </w:pPr>
      <w:r>
        <w:rPr>
          <w:rFonts w:ascii="Courier New" w:eastAsia="Courier New" w:hAnsi="Courier New" w:cs="Courier New"/>
          <w:sz w:val="18"/>
          <w:szCs w:val="18"/>
        </w:rPr>
        <w:t xml:space="preserve">        Compute A_i = r_i - V_phi(s_i)</w:t>
      </w:r>
    </w:p>
    <w:p w14:paraId="48A5998E" w14:textId="77777777" w:rsidR="00CC26B1" w:rsidRDefault="00000000">
      <w:pPr>
        <w:shd w:val="clear" w:color="auto" w:fill="F2F2F2"/>
      </w:pPr>
      <w:r>
        <w:rPr>
          <w:rFonts w:ascii="Courier New" w:eastAsia="Courier New" w:hAnsi="Courier New" w:cs="Courier New"/>
          <w:sz w:val="18"/>
          <w:szCs w:val="18"/>
        </w:rPr>
        <w:t xml:space="preserve">    end for</w:t>
      </w:r>
    </w:p>
    <w:p w14:paraId="1400C09E" w14:textId="77777777" w:rsidR="00CC26B1" w:rsidRDefault="00000000">
      <w:pPr>
        <w:shd w:val="clear" w:color="auto" w:fill="F2F2F2"/>
      </w:pPr>
      <w:r>
        <w:rPr>
          <w:rFonts w:ascii="Courier New" w:eastAsia="Courier New" w:hAnsi="Courier New" w:cs="Courier New"/>
          <w:sz w:val="18"/>
          <w:szCs w:val="18"/>
        </w:rPr>
        <w:t xml:space="preserve">    for k = 1 to K epochs do</w:t>
      </w:r>
    </w:p>
    <w:p w14:paraId="7BEA33AE" w14:textId="77777777" w:rsidR="00CC26B1" w:rsidRDefault="00000000">
      <w:pPr>
        <w:shd w:val="clear" w:color="auto" w:fill="F2F2F2"/>
      </w:pPr>
      <w:r>
        <w:rPr>
          <w:rFonts w:ascii="Courier New" w:eastAsia="Courier New" w:hAnsi="Courier New" w:cs="Courier New"/>
          <w:sz w:val="18"/>
          <w:szCs w:val="18"/>
        </w:rPr>
        <w:t xml:space="preserve">        Update theta by ascending L^CLIP(theta)</w:t>
      </w:r>
    </w:p>
    <w:p w14:paraId="62CD8296" w14:textId="77777777" w:rsidR="00CC26B1" w:rsidRDefault="00000000">
      <w:pPr>
        <w:shd w:val="clear" w:color="auto" w:fill="F2F2F2"/>
      </w:pPr>
      <w:r>
        <w:rPr>
          <w:rFonts w:ascii="Courier New" w:eastAsia="Courier New" w:hAnsi="Courier New" w:cs="Courier New"/>
          <w:sz w:val="18"/>
          <w:szCs w:val="18"/>
        </w:rPr>
        <w:t xml:space="preserve">        Update phi by descending L^VF(phi)</w:t>
      </w:r>
    </w:p>
    <w:p w14:paraId="01178F62" w14:textId="77777777" w:rsidR="00CC26B1" w:rsidRDefault="00000000">
      <w:pPr>
        <w:shd w:val="clear" w:color="auto" w:fill="F2F2F2"/>
      </w:pPr>
      <w:r>
        <w:rPr>
          <w:rFonts w:ascii="Courier New" w:eastAsia="Courier New" w:hAnsi="Courier New" w:cs="Courier New"/>
          <w:sz w:val="18"/>
          <w:szCs w:val="18"/>
        </w:rPr>
        <w:t xml:space="preserve">    end for</w:t>
      </w:r>
    </w:p>
    <w:p w14:paraId="7FE462BD" w14:textId="77777777" w:rsidR="00CC26B1" w:rsidRDefault="00000000">
      <w:pPr>
        <w:shd w:val="clear" w:color="auto" w:fill="F2F2F2"/>
      </w:pPr>
      <w:r>
        <w:rPr>
          <w:rFonts w:ascii="Courier New" w:eastAsia="Courier New" w:hAnsi="Courier New" w:cs="Courier New"/>
          <w:sz w:val="18"/>
          <w:szCs w:val="18"/>
        </w:rPr>
        <w:t xml:space="preserve">    theta_old &lt;- theta</w:t>
      </w:r>
    </w:p>
    <w:p w14:paraId="77ACD914" w14:textId="77777777" w:rsidR="00CC26B1" w:rsidRDefault="00000000">
      <w:pPr>
        <w:shd w:val="clear" w:color="auto" w:fill="F2F2F2"/>
      </w:pPr>
      <w:r>
        <w:rPr>
          <w:rFonts w:ascii="Courier New" w:eastAsia="Courier New" w:hAnsi="Courier New" w:cs="Courier New"/>
          <w:sz w:val="18"/>
          <w:szCs w:val="18"/>
        </w:rPr>
        <w:t>end for</w:t>
      </w:r>
    </w:p>
    <w:p w14:paraId="3D10D990" w14:textId="77777777" w:rsidR="00CC26B1" w:rsidRDefault="00CC26B1">
      <w:pPr>
        <w:spacing w:after="200"/>
      </w:pPr>
    </w:p>
    <w:p w14:paraId="4A77488C" w14:textId="77777777" w:rsidR="00CC26B1" w:rsidRDefault="00000000">
      <w:pPr>
        <w:pStyle w:val="Heading1"/>
        <w:spacing w:before="280" w:after="140"/>
      </w:pPr>
      <w:r>
        <w:t>7. Implementation and Empirical Verification</w:t>
      </w:r>
    </w:p>
    <w:p w14:paraId="519223AB" w14:textId="77777777" w:rsidR="00093275" w:rsidRDefault="00000000">
      <w:pPr>
        <w:spacing w:after="160"/>
        <w:jc w:val="both"/>
        <w:rPr>
          <w:sz w:val="22"/>
          <w:szCs w:val="22"/>
        </w:rPr>
      </w:pPr>
      <w:r>
        <w:rPr>
          <w:sz w:val="22"/>
          <w:szCs w:val="22"/>
        </w:rPr>
        <w:t xml:space="preserve">Equations (1)–(9) were implemented and trained end-to-end, with all gradients derived by hand and applied via explicit </w:t>
      </w:r>
      <w:proofErr w:type="spellStart"/>
      <w:r>
        <w:rPr>
          <w:sz w:val="22"/>
          <w:szCs w:val="22"/>
        </w:rPr>
        <w:t>backpropagation</w:t>
      </w:r>
      <w:proofErr w:type="spellEnd"/>
      <w:r>
        <w:rPr>
          <w:sz w:val="22"/>
          <w:szCs w:val="22"/>
        </w:rPr>
        <w:t xml:space="preserve"> (no automatic-differentiation library), so that every update step maps directly onto the equations above. </w:t>
      </w:r>
    </w:p>
    <w:p w14:paraId="5D26F787" w14:textId="630BAA53" w:rsidR="00CC26B1" w:rsidRDefault="00000000">
      <w:pPr>
        <w:spacing w:after="160"/>
        <w:jc w:val="both"/>
      </w:pPr>
      <w:r>
        <w:rPr>
          <w:sz w:val="22"/>
          <w:szCs w:val="22"/>
        </w:rPr>
        <w:t>The environment is a synthetic single-step RAN control task for an eMBB-only deployment (no URLLC) at 6 GHz (FR3) with a 200 MHz channel bandwidth. On each round the agent observes a 5-dimensional context of normalized cell KPIs sₜ = [T_cell, T_edge, U_PRB, F, E] (Table 1), selects one of three PRB-allocation actions {REDUCE, HOLD, INCREASE}, and receives an immediate reward equal to the weighted sum of the resulting KPIs. No feature of the next round depends on the current action, satisfying the contextual-bandit assumption of Section 2.</w:t>
      </w:r>
    </w:p>
    <w:p w14:paraId="3AF2D9A0" w14:textId="77777777" w:rsidR="00CC26B1" w:rsidRDefault="00000000">
      <w:pPr>
        <w:spacing w:before="100" w:after="240"/>
        <w:jc w:val="center"/>
      </w:pPr>
      <w:r>
        <w:rPr>
          <w:i/>
          <w:iCs/>
        </w:rPr>
        <w:t>Table 1: Context features, default operating point, and normalization reference (6 GHz FR3, 200 MHz, eMBB-only).</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1900"/>
        <w:gridCol w:w="1950"/>
      </w:tblGrid>
      <w:tr w:rsidR="00CC26B1" w14:paraId="325A5B12" w14:textId="77777777">
        <w:tblPrEx>
          <w:tblCellMar>
            <w:top w:w="0" w:type="dxa"/>
            <w:bottom w:w="0" w:type="dxa"/>
          </w:tblCellMar>
        </w:tblPrEx>
        <w:trPr>
          <w:tblHeader/>
        </w:trPr>
        <w:tc>
          <w:tcPr>
            <w:tcW w:w="3600" w:type="dxa"/>
            <w:shd w:val="clear" w:color="auto" w:fill="E7EEF7"/>
          </w:tcPr>
          <w:p w14:paraId="119391F7" w14:textId="77777777" w:rsidR="00CC26B1" w:rsidRDefault="00000000">
            <w:r>
              <w:rPr>
                <w:b/>
                <w:bCs/>
              </w:rPr>
              <w:t>Feature</w:t>
            </w:r>
          </w:p>
        </w:tc>
        <w:tc>
          <w:tcPr>
            <w:tcW w:w="1900" w:type="dxa"/>
            <w:shd w:val="clear" w:color="auto" w:fill="E7EEF7"/>
          </w:tcPr>
          <w:p w14:paraId="6553651A" w14:textId="77777777" w:rsidR="00CC26B1" w:rsidRDefault="00000000">
            <w:r>
              <w:rPr>
                <w:b/>
                <w:bCs/>
              </w:rPr>
              <w:t>Default</w:t>
            </w:r>
          </w:p>
        </w:tc>
        <w:tc>
          <w:tcPr>
            <w:tcW w:w="1900" w:type="dxa"/>
            <w:shd w:val="clear" w:color="auto" w:fill="E7EEF7"/>
          </w:tcPr>
          <w:p w14:paraId="4B5A9560" w14:textId="77777777" w:rsidR="00CC26B1" w:rsidRDefault="00000000">
            <w:r>
              <w:rPr>
                <w:b/>
                <w:bCs/>
              </w:rPr>
              <w:t>Ref. max</w:t>
            </w:r>
          </w:p>
        </w:tc>
        <w:tc>
          <w:tcPr>
            <w:tcW w:w="1950" w:type="dxa"/>
            <w:shd w:val="clear" w:color="auto" w:fill="E7EEF7"/>
          </w:tcPr>
          <w:p w14:paraId="6D21522C" w14:textId="77777777" w:rsidR="00CC26B1" w:rsidRDefault="00000000">
            <w:r>
              <w:rPr>
                <w:b/>
                <w:bCs/>
              </w:rPr>
              <w:t>Weight</w:t>
            </w:r>
          </w:p>
        </w:tc>
      </w:tr>
      <w:tr w:rsidR="00CC26B1" w14:paraId="69D14754" w14:textId="77777777">
        <w:tblPrEx>
          <w:tblCellMar>
            <w:top w:w="0" w:type="dxa"/>
            <w:bottom w:w="0" w:type="dxa"/>
          </w:tblCellMar>
        </w:tblPrEx>
        <w:tc>
          <w:tcPr>
            <w:tcW w:w="3600" w:type="dxa"/>
          </w:tcPr>
          <w:p w14:paraId="4F648965" w14:textId="77777777" w:rsidR="00CC26B1" w:rsidRDefault="00000000">
            <w:r>
              <w:t>T_cell (Cell DL Throughput)</w:t>
            </w:r>
          </w:p>
        </w:tc>
        <w:tc>
          <w:tcPr>
            <w:tcW w:w="1900" w:type="dxa"/>
          </w:tcPr>
          <w:p w14:paraId="5EF7C8F2" w14:textId="77777777" w:rsidR="00CC26B1" w:rsidRDefault="00000000">
            <w:r>
              <w:t>600 Mbps</w:t>
            </w:r>
          </w:p>
        </w:tc>
        <w:tc>
          <w:tcPr>
            <w:tcW w:w="1900" w:type="dxa"/>
          </w:tcPr>
          <w:p w14:paraId="62E4E346" w14:textId="77777777" w:rsidR="00CC26B1" w:rsidRDefault="00000000">
            <w:r>
              <w:t>1500 Mbps</w:t>
            </w:r>
          </w:p>
        </w:tc>
        <w:tc>
          <w:tcPr>
            <w:tcW w:w="1950" w:type="dxa"/>
          </w:tcPr>
          <w:p w14:paraId="01EFDBD6" w14:textId="77777777" w:rsidR="00CC26B1" w:rsidRDefault="00000000">
            <w:r>
              <w:t>w₁ = 0.30</w:t>
            </w:r>
          </w:p>
        </w:tc>
      </w:tr>
      <w:tr w:rsidR="00CC26B1" w14:paraId="53DF4730" w14:textId="77777777">
        <w:tblPrEx>
          <w:tblCellMar>
            <w:top w:w="0" w:type="dxa"/>
            <w:bottom w:w="0" w:type="dxa"/>
          </w:tblCellMar>
        </w:tblPrEx>
        <w:tc>
          <w:tcPr>
            <w:tcW w:w="3600" w:type="dxa"/>
          </w:tcPr>
          <w:p w14:paraId="1CAA5044" w14:textId="77777777" w:rsidR="00CC26B1" w:rsidRDefault="00000000">
            <w:r>
              <w:t>T_edge (Cell Edge Throughput)</w:t>
            </w:r>
          </w:p>
        </w:tc>
        <w:tc>
          <w:tcPr>
            <w:tcW w:w="1900" w:type="dxa"/>
          </w:tcPr>
          <w:p w14:paraId="4CD5F6A7" w14:textId="77777777" w:rsidR="00CC26B1" w:rsidRDefault="00000000">
            <w:r>
              <w:t>40 Mbps</w:t>
            </w:r>
          </w:p>
        </w:tc>
        <w:tc>
          <w:tcPr>
            <w:tcW w:w="1900" w:type="dxa"/>
          </w:tcPr>
          <w:p w14:paraId="4764361D" w14:textId="77777777" w:rsidR="00CC26B1" w:rsidRDefault="00000000">
            <w:r>
              <w:t>100 Mbps</w:t>
            </w:r>
          </w:p>
        </w:tc>
        <w:tc>
          <w:tcPr>
            <w:tcW w:w="1950" w:type="dxa"/>
          </w:tcPr>
          <w:p w14:paraId="6A7CE161" w14:textId="77777777" w:rsidR="00CC26B1" w:rsidRDefault="00000000">
            <w:r>
              <w:t>w₂ = 0.30</w:t>
            </w:r>
          </w:p>
        </w:tc>
      </w:tr>
      <w:tr w:rsidR="00CC26B1" w14:paraId="6097C4AE" w14:textId="77777777">
        <w:tblPrEx>
          <w:tblCellMar>
            <w:top w:w="0" w:type="dxa"/>
            <w:bottom w:w="0" w:type="dxa"/>
          </w:tblCellMar>
        </w:tblPrEx>
        <w:tc>
          <w:tcPr>
            <w:tcW w:w="3600" w:type="dxa"/>
          </w:tcPr>
          <w:p w14:paraId="37BAED6E" w14:textId="77777777" w:rsidR="00CC26B1" w:rsidRDefault="00000000">
            <w:r>
              <w:t>U_PRB (PRB Utilization)</w:t>
            </w:r>
          </w:p>
        </w:tc>
        <w:tc>
          <w:tcPr>
            <w:tcW w:w="1900" w:type="dxa"/>
          </w:tcPr>
          <w:p w14:paraId="19336B81" w14:textId="77777777" w:rsidR="00CC26B1" w:rsidRDefault="00000000">
            <w:r>
              <w:t>0.70</w:t>
            </w:r>
          </w:p>
        </w:tc>
        <w:tc>
          <w:tcPr>
            <w:tcW w:w="1900" w:type="dxa"/>
          </w:tcPr>
          <w:p w14:paraId="64B005D5" w14:textId="77777777" w:rsidR="00CC26B1" w:rsidRDefault="00000000">
            <w:r>
              <w:t>1.0</w:t>
            </w:r>
          </w:p>
        </w:tc>
        <w:tc>
          <w:tcPr>
            <w:tcW w:w="1950" w:type="dxa"/>
          </w:tcPr>
          <w:p w14:paraId="4FDCB1A4" w14:textId="77777777" w:rsidR="00CC26B1" w:rsidRDefault="00000000">
            <w:r>
              <w:t>w₃ = 0.25</w:t>
            </w:r>
          </w:p>
        </w:tc>
      </w:tr>
      <w:tr w:rsidR="00CC26B1" w14:paraId="552DEC3F" w14:textId="77777777">
        <w:tblPrEx>
          <w:tblCellMar>
            <w:top w:w="0" w:type="dxa"/>
            <w:bottom w:w="0" w:type="dxa"/>
          </w:tblCellMar>
        </w:tblPrEx>
        <w:tc>
          <w:tcPr>
            <w:tcW w:w="3600" w:type="dxa"/>
          </w:tcPr>
          <w:p w14:paraId="39613AD3" w14:textId="77777777" w:rsidR="00CC26B1" w:rsidRDefault="00000000">
            <w:r>
              <w:t>F (Fairness, Jain's index)</w:t>
            </w:r>
          </w:p>
        </w:tc>
        <w:tc>
          <w:tcPr>
            <w:tcW w:w="1900" w:type="dxa"/>
          </w:tcPr>
          <w:p w14:paraId="621A94E8" w14:textId="77777777" w:rsidR="00CC26B1" w:rsidRDefault="00000000">
            <w:r>
              <w:t>0.75</w:t>
            </w:r>
          </w:p>
        </w:tc>
        <w:tc>
          <w:tcPr>
            <w:tcW w:w="1900" w:type="dxa"/>
          </w:tcPr>
          <w:p w14:paraId="30CF6378" w14:textId="77777777" w:rsidR="00CC26B1" w:rsidRDefault="00000000">
            <w:r>
              <w:t>1.0</w:t>
            </w:r>
          </w:p>
        </w:tc>
        <w:tc>
          <w:tcPr>
            <w:tcW w:w="1950" w:type="dxa"/>
          </w:tcPr>
          <w:p w14:paraId="1F27CE9C" w14:textId="77777777" w:rsidR="00CC26B1" w:rsidRDefault="00000000">
            <w:r>
              <w:t>w₄ = 0.10</w:t>
            </w:r>
          </w:p>
        </w:tc>
      </w:tr>
      <w:tr w:rsidR="00CC26B1" w14:paraId="27D4F391" w14:textId="77777777">
        <w:tblPrEx>
          <w:tblCellMar>
            <w:top w:w="0" w:type="dxa"/>
            <w:bottom w:w="0" w:type="dxa"/>
          </w:tblCellMar>
        </w:tblPrEx>
        <w:tc>
          <w:tcPr>
            <w:tcW w:w="3600" w:type="dxa"/>
          </w:tcPr>
          <w:p w14:paraId="5DCD01DB" w14:textId="77777777" w:rsidR="00CC26B1" w:rsidRDefault="00000000">
            <w:r>
              <w:t>E (Energy Efficiency, norm.)</w:t>
            </w:r>
          </w:p>
        </w:tc>
        <w:tc>
          <w:tcPr>
            <w:tcW w:w="1900" w:type="dxa"/>
          </w:tcPr>
          <w:p w14:paraId="1CCD07A7" w14:textId="77777777" w:rsidR="00CC26B1" w:rsidRDefault="00000000">
            <w:r>
              <w:t>0.60</w:t>
            </w:r>
          </w:p>
        </w:tc>
        <w:tc>
          <w:tcPr>
            <w:tcW w:w="1900" w:type="dxa"/>
          </w:tcPr>
          <w:p w14:paraId="00AB4406" w14:textId="77777777" w:rsidR="00CC26B1" w:rsidRDefault="00000000">
            <w:r>
              <w:t>1.0</w:t>
            </w:r>
          </w:p>
        </w:tc>
        <w:tc>
          <w:tcPr>
            <w:tcW w:w="1950" w:type="dxa"/>
          </w:tcPr>
          <w:p w14:paraId="455D500E" w14:textId="77777777" w:rsidR="00CC26B1" w:rsidRDefault="00000000">
            <w:r>
              <w:t>w₅ = 0.05</w:t>
            </w:r>
          </w:p>
        </w:tc>
      </w:tr>
    </w:tbl>
    <w:p w14:paraId="2F90D5BF" w14:textId="77777777" w:rsidR="00CC26B1" w:rsidRDefault="00CC26B1">
      <w:pPr>
        <w:spacing w:after="200"/>
      </w:pPr>
    </w:p>
    <w:p w14:paraId="6264D295" w14:textId="77777777" w:rsidR="00CC26B1" w:rsidRDefault="00000000">
      <w:pPr>
        <w:spacing w:after="160"/>
        <w:jc w:val="both"/>
      </w:pPr>
      <w:r>
        <w:rPr>
          <w:sz w:val="22"/>
          <w:szCs w:val="22"/>
        </w:rPr>
        <w:t>The reward is the weighted sum</w:t>
      </w:r>
    </w:p>
    <w:tbl>
      <w:tblPr>
        <w:tblW w:w="9350" w:type="dxa"/>
        <w:tblCellMar>
          <w:left w:w="10" w:type="dxa"/>
          <w:right w:w="10" w:type="dxa"/>
        </w:tblCellMar>
        <w:tblLook w:val="04A0" w:firstRow="1" w:lastRow="0" w:firstColumn="1" w:lastColumn="0" w:noHBand="0" w:noVBand="1"/>
      </w:tblPr>
      <w:tblGrid>
        <w:gridCol w:w="8350"/>
        <w:gridCol w:w="1000"/>
      </w:tblGrid>
      <w:tr w:rsidR="00CC26B1" w14:paraId="5208DA0D" w14:textId="77777777">
        <w:tblPrEx>
          <w:tblCellMar>
            <w:top w:w="0" w:type="dxa"/>
            <w:bottom w:w="0" w:type="dxa"/>
          </w:tblCellMar>
        </w:tblPrEx>
        <w:tc>
          <w:tcPr>
            <w:tcW w:w="8350" w:type="dxa"/>
            <w:vAlign w:val="center"/>
          </w:tcPr>
          <w:p w14:paraId="50EF81EF" w14:textId="77777777" w:rsidR="00CC26B1" w:rsidRDefault="00000000">
            <w:pPr>
              <w:jc w:val="center"/>
            </w:pPr>
            <w:r>
              <w:rPr>
                <w:noProof/>
              </w:rPr>
              <w:drawing>
                <wp:inline distT="0" distB="0" distL="0" distR="0" wp14:anchorId="7676DDD0" wp14:editId="4928627B">
                  <wp:extent cx="3333750" cy="161925"/>
                  <wp:effectExtent l="0" t="0" r="0" b="0"/>
                  <wp:docPr id="1030997999" name="Picture 103099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0" cy="161925"/>
                          </a:xfrm>
                          <a:prstGeom prst="rect">
                            <a:avLst/>
                          </a:prstGeom>
                        </pic:spPr>
                      </pic:pic>
                    </a:graphicData>
                  </a:graphic>
                </wp:inline>
              </w:drawing>
            </w:r>
          </w:p>
        </w:tc>
        <w:tc>
          <w:tcPr>
            <w:tcW w:w="1000" w:type="dxa"/>
            <w:vAlign w:val="center"/>
          </w:tcPr>
          <w:p w14:paraId="0F588592" w14:textId="77777777" w:rsidR="00CC26B1" w:rsidRDefault="00000000">
            <w:pPr>
              <w:jc w:val="right"/>
            </w:pPr>
            <w:r>
              <w:t>(10)</w:t>
            </w:r>
          </w:p>
        </w:tc>
      </w:tr>
    </w:tbl>
    <w:p w14:paraId="38A1FE6A" w14:textId="77777777" w:rsidR="00CC26B1" w:rsidRDefault="00000000">
      <w:pPr>
        <w:spacing w:after="160"/>
        <w:jc w:val="both"/>
      </w:pPr>
      <w:r>
        <w:rPr>
          <w:sz w:val="22"/>
          <w:szCs w:val="22"/>
        </w:rPr>
        <w:t>evaluated on the KPIs after the action's effect on PRB utilization, with weights w₁≈w₂&gt;w₃&gt;w₄&gt;w₅ mirroring the eMBB-only weighting pattern used for the 4-KPI RANOpt reward (throughput and resource-efficiency terms dominant; fairness and energy efficiency as minor terms) — no KPI requires inversion here, since all five are “higher is better” once normalized to [0,1], unlike latency in the original 4-KPI design. Over-utilizing PRBs (congestion) erodes edge throughput, fairness, and energy efficiency; under-utilizing them (slack) wastes cell throughput and energy capacity — so the reward-maximizing action genuinely depends on the context, making this a non-trivial contextual bandit rather than a context-independent one.</w:t>
      </w:r>
    </w:p>
    <w:p w14:paraId="39A9EC3E" w14:textId="77777777" w:rsidR="00CC26B1" w:rsidRDefault="00000000">
      <w:pPr>
        <w:pStyle w:val="Heading2"/>
        <w:spacing w:before="220" w:after="120"/>
      </w:pPr>
      <w:r>
        <w:t xml:space="preserve">7.1 </w:t>
      </w:r>
      <w:proofErr w:type="spellStart"/>
      <w:r>
        <w:t>Backpropagation</w:t>
      </w:r>
      <w:proofErr w:type="spellEnd"/>
      <w:r>
        <w:t xml:space="preserve"> through the clipped surrogate objective</w:t>
      </w:r>
    </w:p>
    <w:p w14:paraId="46D8E828" w14:textId="77777777" w:rsidR="00CC26B1" w:rsidRDefault="00000000">
      <w:pPr>
        <w:spacing w:after="160"/>
        <w:jc w:val="both"/>
      </w:pPr>
      <w:r>
        <w:rPr>
          <w:sz w:val="22"/>
          <w:szCs w:val="22"/>
        </w:rPr>
        <w:t xml:space="preserve">The policy is a two-layer MLP producing π_θ(a|s) via a </w:t>
      </w:r>
      <w:proofErr w:type="spellStart"/>
      <w:r>
        <w:rPr>
          <w:sz w:val="22"/>
          <w:szCs w:val="22"/>
        </w:rPr>
        <w:t>softmax</w:t>
      </w:r>
      <w:proofErr w:type="spellEnd"/>
      <w:r>
        <w:rPr>
          <w:sz w:val="22"/>
          <w:szCs w:val="22"/>
        </w:rPr>
        <w:t xml:space="preserve"> over </w:t>
      </w:r>
      <w:proofErr w:type="spellStart"/>
      <w:r>
        <w:rPr>
          <w:sz w:val="22"/>
          <w:szCs w:val="22"/>
        </w:rPr>
        <w:t>logits</w:t>
      </w:r>
      <w:proofErr w:type="spellEnd"/>
      <w:r>
        <w:rPr>
          <w:sz w:val="22"/>
          <w:szCs w:val="22"/>
        </w:rPr>
        <w:t xml:space="preserve">; the critic is a separate two-layer MLP producing V_φ(s). The gradient of L^CLIP(θ) with respect to the ratio ρₜ(θ) is the standard PPO </w:t>
      </w:r>
      <w:proofErr w:type="spellStart"/>
      <w:r>
        <w:rPr>
          <w:sz w:val="22"/>
          <w:szCs w:val="22"/>
        </w:rPr>
        <w:t>subgradient</w:t>
      </w:r>
      <w:proofErr w:type="spellEnd"/>
      <w:r>
        <w:rPr>
          <w:sz w:val="22"/>
          <w:szCs w:val="22"/>
        </w:rPr>
        <w:t>,</w:t>
      </w:r>
    </w:p>
    <w:tbl>
      <w:tblPr>
        <w:tblW w:w="9350" w:type="dxa"/>
        <w:tblCellMar>
          <w:left w:w="10" w:type="dxa"/>
          <w:right w:w="10" w:type="dxa"/>
        </w:tblCellMar>
        <w:tblLook w:val="04A0" w:firstRow="1" w:lastRow="0" w:firstColumn="1" w:lastColumn="0" w:noHBand="0" w:noVBand="1"/>
      </w:tblPr>
      <w:tblGrid>
        <w:gridCol w:w="8350"/>
        <w:gridCol w:w="1000"/>
      </w:tblGrid>
      <w:tr w:rsidR="00CC26B1" w14:paraId="4759DA81" w14:textId="77777777">
        <w:tblPrEx>
          <w:tblCellMar>
            <w:top w:w="0" w:type="dxa"/>
            <w:bottom w:w="0" w:type="dxa"/>
          </w:tblCellMar>
        </w:tblPrEx>
        <w:tc>
          <w:tcPr>
            <w:tcW w:w="8350" w:type="dxa"/>
            <w:vAlign w:val="center"/>
          </w:tcPr>
          <w:p w14:paraId="0A4F1403" w14:textId="77777777" w:rsidR="00CC26B1" w:rsidRDefault="00000000">
            <w:pPr>
              <w:jc w:val="center"/>
            </w:pPr>
            <w:r>
              <w:rPr>
                <w:noProof/>
              </w:rPr>
              <w:drawing>
                <wp:inline distT="0" distB="0" distL="0" distR="0" wp14:anchorId="2D56F482" wp14:editId="7BEEE14F">
                  <wp:extent cx="2705100" cy="238125"/>
                  <wp:effectExtent l="0" t="0" r="0" b="0"/>
                  <wp:docPr id="141645344" name="Picture 14164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05100" cy="238125"/>
                          </a:xfrm>
                          <a:prstGeom prst="rect">
                            <a:avLst/>
                          </a:prstGeom>
                        </pic:spPr>
                      </pic:pic>
                    </a:graphicData>
                  </a:graphic>
                </wp:inline>
              </w:drawing>
            </w:r>
          </w:p>
        </w:tc>
        <w:tc>
          <w:tcPr>
            <w:tcW w:w="1000" w:type="dxa"/>
            <w:vAlign w:val="center"/>
          </w:tcPr>
          <w:p w14:paraId="16BF6386" w14:textId="77777777" w:rsidR="00CC26B1" w:rsidRDefault="00000000">
            <w:pPr>
              <w:jc w:val="right"/>
            </w:pPr>
            <w:r>
              <w:t>(11)</w:t>
            </w:r>
          </w:p>
        </w:tc>
      </w:tr>
    </w:tbl>
    <w:p w14:paraId="5D2063FF" w14:textId="77777777" w:rsidR="00CC26B1" w:rsidRDefault="00000000">
      <w:pPr>
        <w:spacing w:after="160"/>
        <w:jc w:val="both"/>
      </w:pPr>
      <w:r>
        <w:rPr>
          <w:sz w:val="22"/>
          <w:szCs w:val="22"/>
        </w:rPr>
        <w:t xml:space="preserve">which is zero exactly when clipping is binding in the direction that would otherwise keep pushing ρₜ further outside [1−ε, 1+ε]. This is propagated through ∂ρₜ/∂(log π_θ) = ρₜ, then through the </w:t>
      </w:r>
      <w:proofErr w:type="spellStart"/>
      <w:r>
        <w:rPr>
          <w:sz w:val="22"/>
          <w:szCs w:val="22"/>
        </w:rPr>
        <w:t>softmax-log-probability</w:t>
      </w:r>
      <w:proofErr w:type="spellEnd"/>
      <w:r>
        <w:rPr>
          <w:sz w:val="22"/>
          <w:szCs w:val="22"/>
        </w:rPr>
        <w:t xml:space="preserve"> </w:t>
      </w:r>
      <w:proofErr w:type="spellStart"/>
      <w:r>
        <w:rPr>
          <w:sz w:val="22"/>
          <w:szCs w:val="22"/>
        </w:rPr>
        <w:t>Jacobian</w:t>
      </w:r>
      <w:proofErr w:type="spellEnd"/>
      <w:r>
        <w:rPr>
          <w:sz w:val="22"/>
          <w:szCs w:val="22"/>
        </w:rPr>
        <w:t xml:space="preserve"> ∂ logπ_θ(a|s)/∂(</w:t>
      </w:r>
      <w:proofErr w:type="spellStart"/>
      <w:r>
        <w:rPr>
          <w:sz w:val="22"/>
          <w:szCs w:val="22"/>
        </w:rPr>
        <w:t>logits_j</w:t>
      </w:r>
      <w:proofErr w:type="spellEnd"/>
      <w:r>
        <w:rPr>
          <w:sz w:val="22"/>
          <w:szCs w:val="22"/>
        </w:rPr>
        <w:t>) = 1[j=a] − π_θ(j|s), and finally through the tanh hidden layer via the standard chain rule, to produce gradients for every weight matrix. The core update step, exactly as run:</w:t>
      </w:r>
    </w:p>
    <w:p w14:paraId="3EA9255F" w14:textId="77777777" w:rsidR="00CC26B1" w:rsidRDefault="00000000">
      <w:pPr>
        <w:shd w:val="clear" w:color="auto" w:fill="F2F2F2"/>
      </w:pPr>
      <w:r>
        <w:rPr>
          <w:rFonts w:ascii="Courier New" w:eastAsia="Courier New" w:hAnsi="Courier New" w:cs="Courier New"/>
          <w:sz w:val="18"/>
          <w:szCs w:val="18"/>
        </w:rPr>
        <w:t># ratio rho_t(theta), Eq. (6)</w:t>
      </w:r>
    </w:p>
    <w:p w14:paraId="7A0B9163" w14:textId="77777777" w:rsidR="00CC26B1" w:rsidRDefault="00000000">
      <w:pPr>
        <w:shd w:val="clear" w:color="auto" w:fill="F2F2F2"/>
      </w:pPr>
      <w:proofErr w:type="spellStart"/>
      <w:r>
        <w:rPr>
          <w:rFonts w:ascii="Courier New" w:eastAsia="Courier New" w:hAnsi="Courier New" w:cs="Courier New"/>
          <w:sz w:val="18"/>
          <w:szCs w:val="18"/>
        </w:rPr>
        <w:t>new_logp</w:t>
      </w:r>
      <w:proofErr w:type="spellEnd"/>
      <w:r>
        <w:rPr>
          <w:rFonts w:ascii="Courier New" w:eastAsia="Courier New" w:hAnsi="Courier New" w:cs="Courier New"/>
          <w:sz w:val="18"/>
          <w:szCs w:val="18"/>
        </w:rPr>
        <w:t xml:space="preserve"> = np.log(probs[</w:t>
      </w:r>
      <w:proofErr w:type="spellStart"/>
      <w:r>
        <w:rPr>
          <w:rFonts w:ascii="Courier New" w:eastAsia="Courier New" w:hAnsi="Courier New" w:cs="Courier New"/>
          <w:sz w:val="18"/>
          <w:szCs w:val="18"/>
        </w:rPr>
        <w:t>np.arange</w:t>
      </w:r>
      <w:proofErr w:type="spellEnd"/>
      <w:r>
        <w:rPr>
          <w:rFonts w:ascii="Courier New" w:eastAsia="Courier New" w:hAnsi="Courier New" w:cs="Courier New"/>
          <w:sz w:val="18"/>
          <w:szCs w:val="18"/>
        </w:rPr>
        <w:t>(B), actions] + 1e-8)</w:t>
      </w:r>
    </w:p>
    <w:p w14:paraId="28D5880A" w14:textId="77777777" w:rsidR="00CC26B1" w:rsidRDefault="00000000">
      <w:pPr>
        <w:shd w:val="clear" w:color="auto" w:fill="F2F2F2"/>
      </w:pPr>
      <w:r>
        <w:rPr>
          <w:rFonts w:ascii="Courier New" w:eastAsia="Courier New" w:hAnsi="Courier New" w:cs="Courier New"/>
          <w:sz w:val="18"/>
          <w:szCs w:val="18"/>
        </w:rPr>
        <w:t>ratio = np.exp(</w:t>
      </w:r>
      <w:proofErr w:type="spellStart"/>
      <w:r>
        <w:rPr>
          <w:rFonts w:ascii="Courier New" w:eastAsia="Courier New" w:hAnsi="Courier New" w:cs="Courier New"/>
          <w:sz w:val="18"/>
          <w:szCs w:val="18"/>
        </w:rPr>
        <w:t>new_logp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old_logp</w:t>
      </w:r>
      <w:proofErr w:type="spellEnd"/>
      <w:r>
        <w:rPr>
          <w:rFonts w:ascii="Courier New" w:eastAsia="Courier New" w:hAnsi="Courier New" w:cs="Courier New"/>
          <w:sz w:val="18"/>
          <w:szCs w:val="18"/>
        </w:rPr>
        <w:t>)</w:t>
      </w:r>
    </w:p>
    <w:p w14:paraId="22D0B1E4" w14:textId="77777777" w:rsidR="00CC26B1" w:rsidRDefault="00000000">
      <w:pPr>
        <w:shd w:val="clear" w:color="auto" w:fill="F2F2F2"/>
      </w:pPr>
      <w:r>
        <w:rPr>
          <w:rFonts w:ascii="Courier New" w:eastAsia="Courier New" w:hAnsi="Courier New" w:cs="Courier New"/>
          <w:sz w:val="18"/>
          <w:szCs w:val="18"/>
        </w:rPr>
        <w:t xml:space="preserve"> </w:t>
      </w:r>
    </w:p>
    <w:p w14:paraId="3B452B87" w14:textId="77777777" w:rsidR="00CC26B1" w:rsidRDefault="00000000">
      <w:pPr>
        <w:shd w:val="clear" w:color="auto" w:fill="F2F2F2"/>
      </w:pPr>
      <w:r>
        <w:rPr>
          <w:rFonts w:ascii="Courier New" w:eastAsia="Courier New" w:hAnsi="Courier New" w:cs="Courier New"/>
          <w:sz w:val="18"/>
          <w:szCs w:val="18"/>
        </w:rPr>
        <w:t xml:space="preserve">unclipped = ratio * </w:t>
      </w:r>
      <w:proofErr w:type="spellStart"/>
      <w:r>
        <w:rPr>
          <w:rFonts w:ascii="Courier New" w:eastAsia="Courier New" w:hAnsi="Courier New" w:cs="Courier New"/>
          <w:sz w:val="18"/>
          <w:szCs w:val="18"/>
        </w:rPr>
        <w:t>adv</w:t>
      </w:r>
      <w:proofErr w:type="spellEnd"/>
    </w:p>
    <w:p w14:paraId="67A3C09E" w14:textId="77777777" w:rsidR="00CC26B1" w:rsidRDefault="00000000">
      <w:pPr>
        <w:shd w:val="clear" w:color="auto" w:fill="F2F2F2"/>
      </w:pPr>
      <w:r>
        <w:rPr>
          <w:rFonts w:ascii="Courier New" w:eastAsia="Courier New" w:hAnsi="Courier New" w:cs="Courier New"/>
          <w:sz w:val="18"/>
          <w:szCs w:val="18"/>
        </w:rPr>
        <w:t xml:space="preserve">clipped   = np.clip(ratio, 1 - eps, 1 + eps) * </w:t>
      </w:r>
      <w:proofErr w:type="spellStart"/>
      <w:r>
        <w:rPr>
          <w:rFonts w:ascii="Courier New" w:eastAsia="Courier New" w:hAnsi="Courier New" w:cs="Courier New"/>
          <w:sz w:val="18"/>
          <w:szCs w:val="18"/>
        </w:rPr>
        <w:t>adv</w:t>
      </w:r>
      <w:proofErr w:type="spellEnd"/>
    </w:p>
    <w:p w14:paraId="102160CB" w14:textId="77777777" w:rsidR="00CC26B1" w:rsidRDefault="00000000">
      <w:pPr>
        <w:shd w:val="clear" w:color="auto" w:fill="F2F2F2"/>
      </w:pPr>
      <w:r>
        <w:rPr>
          <w:rFonts w:ascii="Courier New" w:eastAsia="Courier New" w:hAnsi="Courier New" w:cs="Courier New"/>
          <w:sz w:val="18"/>
          <w:szCs w:val="18"/>
        </w:rPr>
        <w:t xml:space="preserve"> </w:t>
      </w:r>
    </w:p>
    <w:p w14:paraId="6B8AF4BB" w14:textId="77777777" w:rsidR="00CC26B1"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subgradient</w:t>
      </w:r>
      <w:proofErr w:type="spellEnd"/>
      <w:r>
        <w:rPr>
          <w:rFonts w:ascii="Courier New" w:eastAsia="Courier New" w:hAnsi="Courier New" w:cs="Courier New"/>
          <w:sz w:val="18"/>
          <w:szCs w:val="18"/>
        </w:rPr>
        <w:t xml:space="preserve"> of L^CLIP w.r.t. ratio (clip-mask rule)</w:t>
      </w:r>
    </w:p>
    <w:p w14:paraId="4CDB917C" w14:textId="77777777" w:rsidR="00CC26B1" w:rsidRDefault="00000000">
      <w:pPr>
        <w:shd w:val="clear" w:color="auto" w:fill="F2F2F2"/>
      </w:pPr>
      <w:r>
        <w:rPr>
          <w:rFonts w:ascii="Courier New" w:eastAsia="Courier New" w:hAnsi="Courier New" w:cs="Courier New"/>
          <w:sz w:val="18"/>
          <w:szCs w:val="18"/>
        </w:rPr>
        <w:t>grad_mask = np.where(</w:t>
      </w:r>
    </w:p>
    <w:p w14:paraId="1E691CF0" w14:textId="77777777" w:rsidR="00CC26B1"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adv</w:t>
      </w:r>
      <w:proofErr w:type="spellEnd"/>
      <w:r>
        <w:rPr>
          <w:rFonts w:ascii="Courier New" w:eastAsia="Courier New" w:hAnsi="Courier New" w:cs="Courier New"/>
          <w:sz w:val="18"/>
          <w:szCs w:val="18"/>
        </w:rPr>
        <w:t xml:space="preserve"> &gt; 0) &amp; (ratio &gt; 1 + eps)) |</w:t>
      </w:r>
    </w:p>
    <w:p w14:paraId="4187E354" w14:textId="77777777" w:rsidR="00CC26B1"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adv</w:t>
      </w:r>
      <w:proofErr w:type="spellEnd"/>
      <w:r>
        <w:rPr>
          <w:rFonts w:ascii="Courier New" w:eastAsia="Courier New" w:hAnsi="Courier New" w:cs="Courier New"/>
          <w:sz w:val="18"/>
          <w:szCs w:val="18"/>
        </w:rPr>
        <w:t xml:space="preserve"> &lt; 0) &amp; (ratio &lt; 1 - eps)), 0.0, 1.0)</w:t>
      </w:r>
    </w:p>
    <w:p w14:paraId="1528D394" w14:textId="77777777" w:rsidR="00CC26B1" w:rsidRDefault="00000000">
      <w:pPr>
        <w:shd w:val="clear" w:color="auto" w:fill="F2F2F2"/>
      </w:pPr>
      <w:proofErr w:type="spellStart"/>
      <w:r>
        <w:rPr>
          <w:rFonts w:ascii="Courier New" w:eastAsia="Courier New" w:hAnsi="Courier New" w:cs="Courier New"/>
          <w:sz w:val="18"/>
          <w:szCs w:val="18"/>
        </w:rPr>
        <w:t>dL_dratio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adv</w:t>
      </w:r>
      <w:proofErr w:type="spellEnd"/>
      <w:r>
        <w:rPr>
          <w:rFonts w:ascii="Courier New" w:eastAsia="Courier New" w:hAnsi="Courier New" w:cs="Courier New"/>
          <w:sz w:val="18"/>
          <w:szCs w:val="18"/>
        </w:rPr>
        <w:t xml:space="preserve"> * grad_mask</w:t>
      </w:r>
    </w:p>
    <w:p w14:paraId="5A4981DF" w14:textId="77777777" w:rsidR="00CC26B1" w:rsidRDefault="00000000">
      <w:pPr>
        <w:shd w:val="clear" w:color="auto" w:fill="F2F2F2"/>
      </w:pPr>
      <w:proofErr w:type="spellStart"/>
      <w:r>
        <w:rPr>
          <w:rFonts w:ascii="Courier New" w:eastAsia="Courier New" w:hAnsi="Courier New" w:cs="Courier New"/>
          <w:sz w:val="18"/>
          <w:szCs w:val="18"/>
        </w:rPr>
        <w:t>dL_dnewlogp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dL_dratio</w:t>
      </w:r>
      <w:proofErr w:type="spellEnd"/>
      <w:r>
        <w:rPr>
          <w:rFonts w:ascii="Courier New" w:eastAsia="Courier New" w:hAnsi="Courier New" w:cs="Courier New"/>
          <w:sz w:val="18"/>
          <w:szCs w:val="18"/>
        </w:rPr>
        <w:t xml:space="preserve"> * ratio        # d(ratio)/d(</w:t>
      </w:r>
      <w:proofErr w:type="spellStart"/>
      <w:r>
        <w:rPr>
          <w:rFonts w:ascii="Courier New" w:eastAsia="Courier New" w:hAnsi="Courier New" w:cs="Courier New"/>
          <w:sz w:val="18"/>
          <w:szCs w:val="18"/>
        </w:rPr>
        <w:t>logp</w:t>
      </w:r>
      <w:proofErr w:type="spellEnd"/>
      <w:r>
        <w:rPr>
          <w:rFonts w:ascii="Courier New" w:eastAsia="Courier New" w:hAnsi="Courier New" w:cs="Courier New"/>
          <w:sz w:val="18"/>
          <w:szCs w:val="18"/>
        </w:rPr>
        <w:t>) = ratio</w:t>
      </w:r>
    </w:p>
    <w:p w14:paraId="51082F30" w14:textId="77777777" w:rsidR="00CC26B1" w:rsidRDefault="00000000">
      <w:pPr>
        <w:shd w:val="clear" w:color="auto" w:fill="F2F2F2"/>
      </w:pPr>
      <w:r>
        <w:rPr>
          <w:rFonts w:ascii="Courier New" w:eastAsia="Courier New" w:hAnsi="Courier New" w:cs="Courier New"/>
          <w:sz w:val="18"/>
          <w:szCs w:val="18"/>
        </w:rPr>
        <w:t xml:space="preserve"> </w:t>
      </w:r>
    </w:p>
    <w:p w14:paraId="420722D9" w14:textId="77777777" w:rsidR="00CC26B1"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softmax-log-prob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Jacobian</w:t>
      </w:r>
      <w:proofErr w:type="spellEnd"/>
      <w:r>
        <w:rPr>
          <w:rFonts w:ascii="Courier New" w:eastAsia="Courier New" w:hAnsi="Courier New" w:cs="Courier New"/>
          <w:sz w:val="18"/>
          <w:szCs w:val="18"/>
        </w:rPr>
        <w:t>: d(</w:t>
      </w:r>
      <w:proofErr w:type="spellStart"/>
      <w:r>
        <w:rPr>
          <w:rFonts w:ascii="Courier New" w:eastAsia="Courier New" w:hAnsi="Courier New" w:cs="Courier New"/>
          <w:sz w:val="18"/>
          <w:szCs w:val="18"/>
        </w:rPr>
        <w:t>logp_a</w:t>
      </w:r>
      <w:proofErr w:type="spellEnd"/>
      <w:r>
        <w:rPr>
          <w:rFonts w:ascii="Courier New" w:eastAsia="Courier New" w:hAnsi="Courier New" w:cs="Courier New"/>
          <w:sz w:val="18"/>
          <w:szCs w:val="18"/>
        </w:rPr>
        <w:t>)/d(</w:t>
      </w:r>
      <w:proofErr w:type="spellStart"/>
      <w:r>
        <w:rPr>
          <w:rFonts w:ascii="Courier New" w:eastAsia="Courier New" w:hAnsi="Courier New" w:cs="Courier New"/>
          <w:sz w:val="18"/>
          <w:szCs w:val="18"/>
        </w:rPr>
        <w:t>logits_j</w:t>
      </w:r>
      <w:proofErr w:type="spellEnd"/>
      <w:r>
        <w:rPr>
          <w:rFonts w:ascii="Courier New" w:eastAsia="Courier New" w:hAnsi="Courier New" w:cs="Courier New"/>
          <w:sz w:val="18"/>
          <w:szCs w:val="18"/>
        </w:rPr>
        <w:t>) = 1[j=a] - probs_j</w:t>
      </w:r>
    </w:p>
    <w:p w14:paraId="26D0B394" w14:textId="77777777" w:rsidR="00CC26B1" w:rsidRDefault="00000000">
      <w:pPr>
        <w:shd w:val="clear" w:color="auto" w:fill="F2F2F2"/>
      </w:pPr>
      <w:proofErr w:type="spellStart"/>
      <w:r>
        <w:rPr>
          <w:rFonts w:ascii="Courier New" w:eastAsia="Courier New" w:hAnsi="Courier New" w:cs="Courier New"/>
          <w:sz w:val="18"/>
          <w:szCs w:val="18"/>
        </w:rPr>
        <w:t>onehot</w:t>
      </w:r>
      <w:proofErr w:type="spellEnd"/>
      <w:r>
        <w:rPr>
          <w:rFonts w:ascii="Courier New" w:eastAsia="Courier New" w:hAnsi="Courier New" w:cs="Courier New"/>
          <w:sz w:val="18"/>
          <w:szCs w:val="18"/>
        </w:rPr>
        <w:t xml:space="preserve"> = np.zeros_like(probs)</w:t>
      </w:r>
    </w:p>
    <w:p w14:paraId="2F85F8F4" w14:textId="77777777" w:rsidR="00CC26B1" w:rsidRDefault="00000000">
      <w:pPr>
        <w:shd w:val="clear" w:color="auto" w:fill="F2F2F2"/>
      </w:pPr>
      <w:proofErr w:type="spellStart"/>
      <w:r>
        <w:rPr>
          <w:rFonts w:ascii="Courier New" w:eastAsia="Courier New" w:hAnsi="Courier New" w:cs="Courier New"/>
          <w:sz w:val="18"/>
          <w:szCs w:val="18"/>
        </w:rPr>
        <w:t>onehot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np.arange</w:t>
      </w:r>
      <w:proofErr w:type="spellEnd"/>
      <w:r>
        <w:rPr>
          <w:rFonts w:ascii="Courier New" w:eastAsia="Courier New" w:hAnsi="Courier New" w:cs="Courier New"/>
          <w:sz w:val="18"/>
          <w:szCs w:val="18"/>
        </w:rPr>
        <w:t>(B), actions] = 1.0</w:t>
      </w:r>
    </w:p>
    <w:p w14:paraId="41AC675B" w14:textId="77777777" w:rsidR="00CC26B1" w:rsidRDefault="00000000">
      <w:pPr>
        <w:shd w:val="clear" w:color="auto" w:fill="F2F2F2"/>
      </w:pPr>
      <w:proofErr w:type="spellStart"/>
      <w:r>
        <w:rPr>
          <w:rFonts w:ascii="Courier New" w:eastAsia="Courier New" w:hAnsi="Courier New" w:cs="Courier New"/>
          <w:sz w:val="18"/>
          <w:szCs w:val="18"/>
        </w:rPr>
        <w:t>dlogits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dL_dnewlogp</w:t>
      </w:r>
      <w:proofErr w:type="spellEnd"/>
      <w:r>
        <w:rPr>
          <w:rFonts w:ascii="Courier New" w:eastAsia="Courier New" w:hAnsi="Courier New" w:cs="Courier New"/>
          <w:sz w:val="18"/>
          <w:szCs w:val="18"/>
        </w:rPr>
        <w:t>[:, None] / B) * (</w:t>
      </w:r>
      <w:proofErr w:type="spellStart"/>
      <w:r>
        <w:rPr>
          <w:rFonts w:ascii="Courier New" w:eastAsia="Courier New" w:hAnsi="Courier New" w:cs="Courier New"/>
          <w:sz w:val="18"/>
          <w:szCs w:val="18"/>
        </w:rPr>
        <w:t>onehot</w:t>
      </w:r>
      <w:proofErr w:type="spellEnd"/>
      <w:r>
        <w:rPr>
          <w:rFonts w:ascii="Courier New" w:eastAsia="Courier New" w:hAnsi="Courier New" w:cs="Courier New"/>
          <w:sz w:val="18"/>
          <w:szCs w:val="18"/>
        </w:rPr>
        <w:t xml:space="preserve"> - probs)</w:t>
      </w:r>
    </w:p>
    <w:p w14:paraId="0E05E92D" w14:textId="77777777" w:rsidR="00CC26B1" w:rsidRDefault="00000000">
      <w:pPr>
        <w:shd w:val="clear" w:color="auto" w:fill="F2F2F2"/>
      </w:pPr>
      <w:r>
        <w:rPr>
          <w:rFonts w:ascii="Courier New" w:eastAsia="Courier New" w:hAnsi="Courier New" w:cs="Courier New"/>
          <w:sz w:val="18"/>
          <w:szCs w:val="18"/>
        </w:rPr>
        <w:t xml:space="preserve"> </w:t>
      </w:r>
    </w:p>
    <w:p w14:paraId="13CF1208" w14:textId="77777777" w:rsidR="00CC26B1" w:rsidRDefault="00000000">
      <w:pPr>
        <w:shd w:val="clear" w:color="auto" w:fill="F2F2F2"/>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backprop</w:t>
      </w:r>
      <w:proofErr w:type="spellEnd"/>
      <w:r>
        <w:rPr>
          <w:rFonts w:ascii="Courier New" w:eastAsia="Courier New" w:hAnsi="Courier New" w:cs="Courier New"/>
          <w:sz w:val="18"/>
          <w:szCs w:val="18"/>
        </w:rPr>
        <w:t xml:space="preserve"> into hidden layer (tanh) and weights W1, W2</w:t>
      </w:r>
    </w:p>
    <w:p w14:paraId="09F3769B" w14:textId="77777777" w:rsidR="00CC26B1" w:rsidRDefault="00000000">
      <w:pPr>
        <w:shd w:val="clear" w:color="auto" w:fill="F2F2F2"/>
      </w:pPr>
      <w:r>
        <w:rPr>
          <w:rFonts w:ascii="Courier New" w:eastAsia="Courier New" w:hAnsi="Courier New" w:cs="Courier New"/>
          <w:sz w:val="18"/>
          <w:szCs w:val="18"/>
        </w:rPr>
        <w:t xml:space="preserve">dW2 = h1.T @ </w:t>
      </w:r>
      <w:proofErr w:type="spellStart"/>
      <w:r>
        <w:rPr>
          <w:rFonts w:ascii="Courier New" w:eastAsia="Courier New" w:hAnsi="Courier New" w:cs="Courier New"/>
          <w:sz w:val="18"/>
          <w:szCs w:val="18"/>
        </w:rPr>
        <w:t>dlogits</w:t>
      </w:r>
      <w:proofErr w:type="spellEnd"/>
    </w:p>
    <w:p w14:paraId="5C19C68A" w14:textId="77777777" w:rsidR="00CC26B1" w:rsidRDefault="00000000">
      <w:pPr>
        <w:shd w:val="clear" w:color="auto" w:fill="F2F2F2"/>
      </w:pPr>
      <w:r>
        <w:rPr>
          <w:rFonts w:ascii="Courier New" w:eastAsia="Courier New" w:hAnsi="Courier New" w:cs="Courier New"/>
          <w:sz w:val="18"/>
          <w:szCs w:val="18"/>
        </w:rPr>
        <w:t xml:space="preserve">dh1 = </w:t>
      </w:r>
      <w:proofErr w:type="spellStart"/>
      <w:r>
        <w:rPr>
          <w:rFonts w:ascii="Courier New" w:eastAsia="Courier New" w:hAnsi="Courier New" w:cs="Courier New"/>
          <w:sz w:val="18"/>
          <w:szCs w:val="18"/>
        </w:rPr>
        <w:t>dlogits</w:t>
      </w:r>
      <w:proofErr w:type="spellEnd"/>
      <w:r>
        <w:rPr>
          <w:rFonts w:ascii="Courier New" w:eastAsia="Courier New" w:hAnsi="Courier New" w:cs="Courier New"/>
          <w:sz w:val="18"/>
          <w:szCs w:val="18"/>
        </w:rPr>
        <w:t xml:space="preserve"> @ W2.T</w:t>
      </w:r>
    </w:p>
    <w:p w14:paraId="63E278BE" w14:textId="77777777" w:rsidR="00CC26B1" w:rsidRDefault="00000000">
      <w:pPr>
        <w:shd w:val="clear" w:color="auto" w:fill="F2F2F2"/>
      </w:pPr>
      <w:proofErr w:type="spellStart"/>
      <w:r>
        <w:rPr>
          <w:rFonts w:ascii="Courier New" w:eastAsia="Courier New" w:hAnsi="Courier New" w:cs="Courier New"/>
          <w:sz w:val="18"/>
          <w:szCs w:val="18"/>
        </w:rPr>
        <w:t>dz1</w:t>
      </w:r>
      <w:proofErr w:type="spellEnd"/>
      <w:r>
        <w:rPr>
          <w:rFonts w:ascii="Courier New" w:eastAsia="Courier New" w:hAnsi="Courier New" w:cs="Courier New"/>
          <w:sz w:val="18"/>
          <w:szCs w:val="18"/>
        </w:rPr>
        <w:t xml:space="preserve"> = dh1 * (1 - np.tanh(z1) ** 2)</w:t>
      </w:r>
    </w:p>
    <w:p w14:paraId="023EFE59" w14:textId="77777777" w:rsidR="00CC26B1" w:rsidRDefault="00000000">
      <w:pPr>
        <w:shd w:val="clear" w:color="auto" w:fill="F2F2F2"/>
      </w:pPr>
      <w:r>
        <w:rPr>
          <w:rFonts w:ascii="Courier New" w:eastAsia="Courier New" w:hAnsi="Courier New" w:cs="Courier New"/>
          <w:sz w:val="18"/>
          <w:szCs w:val="18"/>
        </w:rPr>
        <w:t xml:space="preserve">dW1 = s.T @ </w:t>
      </w:r>
      <w:proofErr w:type="spellStart"/>
      <w:r>
        <w:rPr>
          <w:rFonts w:ascii="Courier New" w:eastAsia="Courier New" w:hAnsi="Courier New" w:cs="Courier New"/>
          <w:sz w:val="18"/>
          <w:szCs w:val="18"/>
        </w:rPr>
        <w:t>dz1</w:t>
      </w:r>
      <w:proofErr w:type="spellEnd"/>
    </w:p>
    <w:p w14:paraId="45B05055" w14:textId="77777777" w:rsidR="00CC26B1" w:rsidRDefault="00000000">
      <w:pPr>
        <w:shd w:val="clear" w:color="auto" w:fill="F2F2F2"/>
      </w:pPr>
      <w:r>
        <w:rPr>
          <w:rFonts w:ascii="Courier New" w:eastAsia="Courier New" w:hAnsi="Courier New" w:cs="Courier New"/>
          <w:sz w:val="18"/>
          <w:szCs w:val="18"/>
        </w:rPr>
        <w:t># gradient-descent step on -L^CLIP + c1 L^VF - c2 H, Eq. (9)</w:t>
      </w:r>
    </w:p>
    <w:p w14:paraId="1806A8F9" w14:textId="77777777" w:rsidR="00CC26B1" w:rsidRDefault="00000000">
      <w:pPr>
        <w:shd w:val="clear" w:color="auto" w:fill="F2F2F2"/>
      </w:pPr>
      <w:r>
        <w:rPr>
          <w:rFonts w:ascii="Courier New" w:eastAsia="Courier New" w:hAnsi="Courier New" w:cs="Courier New"/>
          <w:sz w:val="18"/>
          <w:szCs w:val="18"/>
        </w:rPr>
        <w:t xml:space="preserve">W2 -= </w:t>
      </w:r>
      <w:proofErr w:type="spellStart"/>
      <w:r>
        <w:rPr>
          <w:rFonts w:ascii="Courier New" w:eastAsia="Courier New" w:hAnsi="Courier New" w:cs="Courier New"/>
          <w:sz w:val="18"/>
          <w:szCs w:val="18"/>
        </w:rPr>
        <w:t>lr</w:t>
      </w:r>
      <w:proofErr w:type="spellEnd"/>
      <w:r>
        <w:rPr>
          <w:rFonts w:ascii="Courier New" w:eastAsia="Courier New" w:hAnsi="Courier New" w:cs="Courier New"/>
          <w:sz w:val="18"/>
          <w:szCs w:val="18"/>
        </w:rPr>
        <w:t xml:space="preserve"> * dW2;  W1 -= </w:t>
      </w:r>
      <w:proofErr w:type="spellStart"/>
      <w:r>
        <w:rPr>
          <w:rFonts w:ascii="Courier New" w:eastAsia="Courier New" w:hAnsi="Courier New" w:cs="Courier New"/>
          <w:sz w:val="18"/>
          <w:szCs w:val="18"/>
        </w:rPr>
        <w:t>lr</w:t>
      </w:r>
      <w:proofErr w:type="spellEnd"/>
      <w:r>
        <w:rPr>
          <w:rFonts w:ascii="Courier New" w:eastAsia="Courier New" w:hAnsi="Courier New" w:cs="Courier New"/>
          <w:sz w:val="18"/>
          <w:szCs w:val="18"/>
        </w:rPr>
        <w:t xml:space="preserve"> * dW1</w:t>
      </w:r>
    </w:p>
    <w:p w14:paraId="528D05A3" w14:textId="77777777" w:rsidR="00CC26B1" w:rsidRDefault="00CC26B1">
      <w:pPr>
        <w:spacing w:after="200"/>
      </w:pPr>
    </w:p>
    <w:p w14:paraId="071E2C5D" w14:textId="77777777" w:rsidR="00CC26B1" w:rsidRDefault="00000000">
      <w:pPr>
        <w:spacing w:after="160"/>
        <w:jc w:val="both"/>
      </w:pPr>
      <w:r>
        <w:rPr>
          <w:sz w:val="22"/>
          <w:szCs w:val="22"/>
        </w:rPr>
        <w:t xml:space="preserve">The critic weights are updated by the analogous </w:t>
      </w:r>
      <w:proofErr w:type="spellStart"/>
      <w:r>
        <w:rPr>
          <w:sz w:val="22"/>
          <w:szCs w:val="22"/>
        </w:rPr>
        <w:t>backpropagation</w:t>
      </w:r>
      <w:proofErr w:type="spellEnd"/>
      <w:r>
        <w:rPr>
          <w:sz w:val="22"/>
          <w:szCs w:val="22"/>
        </w:rPr>
        <w:t xml:space="preserve"> of L^VF(φ) through its own two-layer network. Each PPO update performs K=8 such epochs on a batch of 128 freshly sampled RAN contexts before θ_old ← θ, following Algorithm 1.</w:t>
      </w:r>
    </w:p>
    <w:p w14:paraId="2B989FB6" w14:textId="77777777" w:rsidR="00CC26B1" w:rsidRDefault="00000000">
      <w:pPr>
        <w:pStyle w:val="Heading2"/>
        <w:spacing w:before="220" w:after="120"/>
      </w:pPr>
      <w:r>
        <w:t>7.2 Training results</w:t>
      </w:r>
    </w:p>
    <w:p w14:paraId="1933DE3D" w14:textId="77777777" w:rsidR="00CC26B1" w:rsidRDefault="00000000">
      <w:pPr>
        <w:spacing w:after="160"/>
        <w:jc w:val="both"/>
      </w:pPr>
      <w:r>
        <w:rPr>
          <w:sz w:val="22"/>
          <w:szCs w:val="22"/>
        </w:rPr>
        <w:t>The figure below shows the mean batch reward over 300 PPO updates. The policy improves from an untrained mean reward of +0.43 to a stable plateau around +0.50.</w:t>
      </w:r>
    </w:p>
    <w:p w14:paraId="75E18AD2" w14:textId="77777777" w:rsidR="00CC26B1" w:rsidRDefault="00000000">
      <w:pPr>
        <w:jc w:val="center"/>
      </w:pPr>
      <w:r>
        <w:rPr>
          <w:noProof/>
        </w:rPr>
        <w:drawing>
          <wp:inline distT="0" distB="0" distL="0" distR="0" wp14:anchorId="16469BD9" wp14:editId="2DD588F5">
            <wp:extent cx="4762500" cy="2695575"/>
            <wp:effectExtent l="0" t="0" r="0" b="0"/>
            <wp:docPr id="57733871" name="Picture 5773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95575"/>
                    </a:xfrm>
                    <a:prstGeom prst="rect">
                      <a:avLst/>
                    </a:prstGeom>
                  </pic:spPr>
                </pic:pic>
              </a:graphicData>
            </a:graphic>
          </wp:inline>
        </w:drawing>
      </w:r>
    </w:p>
    <w:p w14:paraId="68979120" w14:textId="77777777" w:rsidR="00CC26B1" w:rsidRDefault="00000000">
      <w:pPr>
        <w:spacing w:before="100" w:after="240"/>
        <w:jc w:val="center"/>
      </w:pPr>
      <w:r>
        <w:rPr>
          <w:i/>
          <w:iCs/>
        </w:rPr>
        <w:t>Figure 1: Mean reward per training batch across 300 single-step PPO updates on the 6 GHz/200 MHz eMBB context (K=8 epochs/update, ε=0.2, batch size 128).</w:t>
      </w:r>
    </w:p>
    <w:p w14:paraId="19A7559D" w14:textId="77777777" w:rsidR="00CC26B1" w:rsidRDefault="00000000">
      <w:pPr>
        <w:spacing w:before="100" w:after="240"/>
        <w:jc w:val="center"/>
      </w:pPr>
      <w:r>
        <w:rPr>
          <w:i/>
          <w:iCs/>
        </w:rPr>
        <w:t>Table 2: Clip fraction across training, and final held-out reward.</w:t>
      </w:r>
    </w:p>
    <w:tbl>
      <w:tblPr>
        <w:tblW w:w="7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2450"/>
        <w:gridCol w:w="2450"/>
      </w:tblGrid>
      <w:tr w:rsidR="00CC26B1" w14:paraId="2CDFD859" w14:textId="77777777">
        <w:tblPrEx>
          <w:tblCellMar>
            <w:top w:w="0" w:type="dxa"/>
            <w:bottom w:w="0" w:type="dxa"/>
          </w:tblCellMar>
        </w:tblPrEx>
        <w:trPr>
          <w:tblHeader/>
        </w:trPr>
        <w:tc>
          <w:tcPr>
            <w:tcW w:w="2450" w:type="dxa"/>
            <w:shd w:val="clear" w:color="auto" w:fill="E7EEF7"/>
          </w:tcPr>
          <w:p w14:paraId="438C2B79" w14:textId="77777777" w:rsidR="00CC26B1" w:rsidRDefault="00000000">
            <w:r>
              <w:rPr>
                <w:b/>
                <w:bCs/>
              </w:rPr>
              <w:t>Update</w:t>
            </w:r>
          </w:p>
        </w:tc>
        <w:tc>
          <w:tcPr>
            <w:tcW w:w="2450" w:type="dxa"/>
            <w:shd w:val="clear" w:color="auto" w:fill="E7EEF7"/>
          </w:tcPr>
          <w:p w14:paraId="736C86B6" w14:textId="77777777" w:rsidR="00CC26B1" w:rsidRDefault="00000000">
            <w:r>
              <w:rPr>
                <w:b/>
                <w:bCs/>
              </w:rPr>
              <w:t>Mean reward</w:t>
            </w:r>
          </w:p>
        </w:tc>
        <w:tc>
          <w:tcPr>
            <w:tcW w:w="2450" w:type="dxa"/>
            <w:shd w:val="clear" w:color="auto" w:fill="E7EEF7"/>
          </w:tcPr>
          <w:p w14:paraId="2578F871" w14:textId="77777777" w:rsidR="00CC26B1" w:rsidRDefault="00000000">
            <w:r>
              <w:rPr>
                <w:b/>
                <w:bCs/>
              </w:rPr>
              <w:t>Clip fraction</w:t>
            </w:r>
          </w:p>
        </w:tc>
      </w:tr>
      <w:tr w:rsidR="00CC26B1" w14:paraId="5176BCC6" w14:textId="77777777">
        <w:tblPrEx>
          <w:tblCellMar>
            <w:top w:w="0" w:type="dxa"/>
            <w:bottom w:w="0" w:type="dxa"/>
          </w:tblCellMar>
        </w:tblPrEx>
        <w:tc>
          <w:tcPr>
            <w:tcW w:w="2450" w:type="dxa"/>
          </w:tcPr>
          <w:p w14:paraId="227BAB3F" w14:textId="77777777" w:rsidR="00CC26B1" w:rsidRDefault="00000000">
            <w:r>
              <w:t>0</w:t>
            </w:r>
          </w:p>
        </w:tc>
        <w:tc>
          <w:tcPr>
            <w:tcW w:w="2450" w:type="dxa"/>
          </w:tcPr>
          <w:p w14:paraId="7D654C5A" w14:textId="77777777" w:rsidR="00CC26B1" w:rsidRDefault="00000000">
            <w:r>
              <w:t>+0.429</w:t>
            </w:r>
          </w:p>
        </w:tc>
        <w:tc>
          <w:tcPr>
            <w:tcW w:w="2450" w:type="dxa"/>
          </w:tcPr>
          <w:p w14:paraId="322F08F0" w14:textId="77777777" w:rsidR="00CC26B1" w:rsidRDefault="00000000">
            <w:r>
              <w:t>0.09</w:t>
            </w:r>
          </w:p>
        </w:tc>
      </w:tr>
      <w:tr w:rsidR="00CC26B1" w14:paraId="7E7D3EDC" w14:textId="77777777">
        <w:tblPrEx>
          <w:tblCellMar>
            <w:top w:w="0" w:type="dxa"/>
            <w:bottom w:w="0" w:type="dxa"/>
          </w:tblCellMar>
        </w:tblPrEx>
        <w:tc>
          <w:tcPr>
            <w:tcW w:w="2450" w:type="dxa"/>
          </w:tcPr>
          <w:p w14:paraId="5334CCBF" w14:textId="77777777" w:rsidR="00CC26B1" w:rsidRDefault="00000000">
            <w:r>
              <w:t>80</w:t>
            </w:r>
          </w:p>
        </w:tc>
        <w:tc>
          <w:tcPr>
            <w:tcW w:w="2450" w:type="dxa"/>
          </w:tcPr>
          <w:p w14:paraId="2B9FACE8" w14:textId="77777777" w:rsidR="00CC26B1" w:rsidRDefault="00000000">
            <w:r>
              <w:t>+0.488</w:t>
            </w:r>
          </w:p>
        </w:tc>
        <w:tc>
          <w:tcPr>
            <w:tcW w:w="2450" w:type="dxa"/>
          </w:tcPr>
          <w:p w14:paraId="27B8FAE1" w14:textId="77777777" w:rsidR="00CC26B1" w:rsidRDefault="00000000">
            <w:r>
              <w:t>0.10</w:t>
            </w:r>
          </w:p>
        </w:tc>
      </w:tr>
      <w:tr w:rsidR="00CC26B1" w14:paraId="4466EBB8" w14:textId="77777777">
        <w:tblPrEx>
          <w:tblCellMar>
            <w:top w:w="0" w:type="dxa"/>
            <w:bottom w:w="0" w:type="dxa"/>
          </w:tblCellMar>
        </w:tblPrEx>
        <w:tc>
          <w:tcPr>
            <w:tcW w:w="2450" w:type="dxa"/>
          </w:tcPr>
          <w:p w14:paraId="25E175CF" w14:textId="77777777" w:rsidR="00CC26B1" w:rsidRDefault="00000000">
            <w:r>
              <w:t>160</w:t>
            </w:r>
          </w:p>
        </w:tc>
        <w:tc>
          <w:tcPr>
            <w:tcW w:w="2450" w:type="dxa"/>
          </w:tcPr>
          <w:p w14:paraId="557151A7" w14:textId="77777777" w:rsidR="00CC26B1" w:rsidRDefault="00000000">
            <w:r>
              <w:t>+0.496</w:t>
            </w:r>
          </w:p>
        </w:tc>
        <w:tc>
          <w:tcPr>
            <w:tcW w:w="2450" w:type="dxa"/>
          </w:tcPr>
          <w:p w14:paraId="77564A22" w14:textId="77777777" w:rsidR="00CC26B1" w:rsidRDefault="00000000">
            <w:r>
              <w:t>0.12</w:t>
            </w:r>
          </w:p>
        </w:tc>
      </w:tr>
      <w:tr w:rsidR="00CC26B1" w14:paraId="32DBBBD8" w14:textId="77777777">
        <w:tblPrEx>
          <w:tblCellMar>
            <w:top w:w="0" w:type="dxa"/>
            <w:bottom w:w="0" w:type="dxa"/>
          </w:tblCellMar>
        </w:tblPrEx>
        <w:tc>
          <w:tcPr>
            <w:tcW w:w="2450" w:type="dxa"/>
          </w:tcPr>
          <w:p w14:paraId="3B6DC4F1" w14:textId="77777777" w:rsidR="00CC26B1" w:rsidRDefault="00000000">
            <w:r>
              <w:t>200</w:t>
            </w:r>
          </w:p>
        </w:tc>
        <w:tc>
          <w:tcPr>
            <w:tcW w:w="2450" w:type="dxa"/>
          </w:tcPr>
          <w:p w14:paraId="7D2915E2" w14:textId="77777777" w:rsidR="00CC26B1" w:rsidRDefault="00000000">
            <w:r>
              <w:t>+0.506</w:t>
            </w:r>
          </w:p>
        </w:tc>
        <w:tc>
          <w:tcPr>
            <w:tcW w:w="2450" w:type="dxa"/>
          </w:tcPr>
          <w:p w14:paraId="2C39721E" w14:textId="77777777" w:rsidR="00CC26B1" w:rsidRDefault="00000000">
            <w:r>
              <w:t>0.12</w:t>
            </w:r>
          </w:p>
        </w:tc>
      </w:tr>
      <w:tr w:rsidR="00CC26B1" w14:paraId="1D6AF00E" w14:textId="77777777">
        <w:tblPrEx>
          <w:tblCellMar>
            <w:top w:w="0" w:type="dxa"/>
            <w:bottom w:w="0" w:type="dxa"/>
          </w:tblCellMar>
        </w:tblPrEx>
        <w:tc>
          <w:tcPr>
            <w:tcW w:w="2450" w:type="dxa"/>
          </w:tcPr>
          <w:p w14:paraId="32C22A3B" w14:textId="77777777" w:rsidR="00CC26B1" w:rsidRDefault="00000000">
            <w:r>
              <w:t>299</w:t>
            </w:r>
          </w:p>
        </w:tc>
        <w:tc>
          <w:tcPr>
            <w:tcW w:w="2450" w:type="dxa"/>
          </w:tcPr>
          <w:p w14:paraId="5DDAEE53" w14:textId="77777777" w:rsidR="00CC26B1" w:rsidRDefault="00000000">
            <w:r>
              <w:t>+0.505</w:t>
            </w:r>
          </w:p>
        </w:tc>
        <w:tc>
          <w:tcPr>
            <w:tcW w:w="2450" w:type="dxa"/>
          </w:tcPr>
          <w:p w14:paraId="32F5DEA3" w14:textId="77777777" w:rsidR="00CC26B1" w:rsidRDefault="00000000">
            <w:r>
              <w:t>0.10</w:t>
            </w:r>
          </w:p>
        </w:tc>
      </w:tr>
    </w:tbl>
    <w:p w14:paraId="2A87FE96" w14:textId="77777777" w:rsidR="00CC26B1" w:rsidRDefault="00CC26B1">
      <w:pPr>
        <w:spacing w:after="200"/>
      </w:pPr>
    </w:p>
    <w:p w14:paraId="3E3E8E7E" w14:textId="77777777" w:rsidR="00CC26B1" w:rsidRDefault="00000000">
      <w:pPr>
        <w:spacing w:before="100" w:after="240"/>
        <w:jc w:val="center"/>
      </w:pPr>
      <w:r>
        <w:rPr>
          <w:i/>
          <w:iCs/>
        </w:rPr>
        <w:t>Table 3: Aggregate reward, learned vs. random policy (5,000 held-out contexts).</w:t>
      </w:r>
    </w:p>
    <w:tbl>
      <w:tblPr>
        <w:tblW w:w="7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5"/>
        <w:gridCol w:w="3675"/>
      </w:tblGrid>
      <w:tr w:rsidR="00CC26B1" w14:paraId="1CEE273A" w14:textId="77777777">
        <w:tblPrEx>
          <w:tblCellMar>
            <w:top w:w="0" w:type="dxa"/>
            <w:bottom w:w="0" w:type="dxa"/>
          </w:tblCellMar>
        </w:tblPrEx>
        <w:trPr>
          <w:tblHeader/>
        </w:trPr>
        <w:tc>
          <w:tcPr>
            <w:tcW w:w="3675" w:type="dxa"/>
            <w:shd w:val="clear" w:color="auto" w:fill="E7EEF7"/>
          </w:tcPr>
          <w:p w14:paraId="00ED54FD" w14:textId="77777777" w:rsidR="00CC26B1" w:rsidRDefault="00000000">
            <w:r>
              <w:rPr>
                <w:b/>
                <w:bCs/>
              </w:rPr>
              <w:t>Policy</w:t>
            </w:r>
          </w:p>
        </w:tc>
        <w:tc>
          <w:tcPr>
            <w:tcW w:w="3675" w:type="dxa"/>
            <w:shd w:val="clear" w:color="auto" w:fill="E7EEF7"/>
          </w:tcPr>
          <w:p w14:paraId="2BE21FE4" w14:textId="77777777" w:rsidR="00CC26B1" w:rsidRDefault="00000000">
            <w:r>
              <w:rPr>
                <w:b/>
                <w:bCs/>
              </w:rPr>
              <w:t>Mean reward</w:t>
            </w:r>
          </w:p>
        </w:tc>
      </w:tr>
      <w:tr w:rsidR="00CC26B1" w14:paraId="2FE81066" w14:textId="77777777">
        <w:tblPrEx>
          <w:tblCellMar>
            <w:top w:w="0" w:type="dxa"/>
            <w:bottom w:w="0" w:type="dxa"/>
          </w:tblCellMar>
        </w:tblPrEx>
        <w:tc>
          <w:tcPr>
            <w:tcW w:w="3675" w:type="dxa"/>
          </w:tcPr>
          <w:p w14:paraId="7763A04A" w14:textId="77777777" w:rsidR="00CC26B1" w:rsidRDefault="00000000">
            <w:r>
              <w:t>Learned (greedy)</w:t>
            </w:r>
          </w:p>
        </w:tc>
        <w:tc>
          <w:tcPr>
            <w:tcW w:w="3675" w:type="dxa"/>
          </w:tcPr>
          <w:p w14:paraId="440932A1" w14:textId="77777777" w:rsidR="00CC26B1" w:rsidRDefault="00000000">
            <w:r>
              <w:t>+0.502</w:t>
            </w:r>
          </w:p>
        </w:tc>
      </w:tr>
      <w:tr w:rsidR="00CC26B1" w14:paraId="16083B62" w14:textId="77777777">
        <w:tblPrEx>
          <w:tblCellMar>
            <w:top w:w="0" w:type="dxa"/>
            <w:bottom w:w="0" w:type="dxa"/>
          </w:tblCellMar>
        </w:tblPrEx>
        <w:tc>
          <w:tcPr>
            <w:tcW w:w="3675" w:type="dxa"/>
          </w:tcPr>
          <w:p w14:paraId="74C9DE96" w14:textId="77777777" w:rsidR="00CC26B1" w:rsidRDefault="00000000">
            <w:r>
              <w:t>Uniform random</w:t>
            </w:r>
          </w:p>
        </w:tc>
        <w:tc>
          <w:tcPr>
            <w:tcW w:w="3675" w:type="dxa"/>
          </w:tcPr>
          <w:p w14:paraId="7F6D0FE8" w14:textId="77777777" w:rsidR="00CC26B1" w:rsidRDefault="00000000">
            <w:r>
              <w:t>+0.447</w:t>
            </w:r>
          </w:p>
        </w:tc>
      </w:tr>
    </w:tbl>
    <w:p w14:paraId="54DADB11" w14:textId="77777777" w:rsidR="00CC26B1" w:rsidRDefault="00CC26B1">
      <w:pPr>
        <w:spacing w:after="200"/>
      </w:pPr>
    </w:p>
    <w:p w14:paraId="6B130B6B" w14:textId="77777777" w:rsidR="00CC26B1" w:rsidRDefault="00000000">
      <w:pPr>
        <w:spacing w:after="160"/>
        <w:jc w:val="both"/>
      </w:pPr>
      <w:r>
        <w:rPr>
          <w:sz w:val="22"/>
          <w:szCs w:val="22"/>
        </w:rPr>
        <w:t>The clip fraction stays consistently active (9–17%) throughout training rather than collapsing to zero — the expected signature of the trust-region mechanism genuinely engaging during optimization on a context-dependent reward, not merely being present in the objective's algebra. The learned policy improves on the uniform-random policy by roughly 12% in mean reward, confirming the single-step advantage estimate is capturing the real dependency between context (particularly current U_PRB relative to the congestion/slack thresholds) and the reward-maximizing PRB-allocation action.</w:t>
      </w:r>
    </w:p>
    <w:p w14:paraId="54A9E575" w14:textId="77777777" w:rsidR="00CC26B1" w:rsidRDefault="00000000">
      <w:pPr>
        <w:pStyle w:val="Heading2"/>
        <w:spacing w:before="220" w:after="120"/>
      </w:pPr>
      <w:r>
        <w:t>7.3 Per-KPI gain breakdown</w:t>
      </w:r>
    </w:p>
    <w:p w14:paraId="14D48E67" w14:textId="77777777" w:rsidR="00CC26B1" w:rsidRDefault="00000000">
      <w:pPr>
        <w:spacing w:after="160"/>
        <w:jc w:val="both"/>
      </w:pPr>
      <w:r>
        <w:rPr>
          <w:sz w:val="22"/>
          <w:szCs w:val="22"/>
        </w:rPr>
        <w:t>The aggregate reward gain in Table 3 is a weighted sum across all five KPIs. Decomposing it into each KPI's individual gain — evaluated on the same 5,000 held-out contexts, learned (greedy) policy vs. uniform-random policy — shows how the improvement is actually distributed:</w:t>
      </w:r>
    </w:p>
    <w:p w14:paraId="3967B12D" w14:textId="77777777" w:rsidR="00CC26B1" w:rsidRDefault="00000000">
      <w:pPr>
        <w:spacing w:before="100" w:after="240"/>
        <w:jc w:val="center"/>
      </w:pPr>
      <w:r>
        <w:rPr>
          <w:i/>
          <w:iCs/>
        </w:rPr>
        <w:t>Table 4: Per-KPI gain, learned policy vs. random policy (5,000 held-out contexts).</w:t>
      </w:r>
    </w:p>
    <w:tbl>
      <w:tblPr>
        <w:tblW w:w="8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500"/>
        <w:gridCol w:w="1450"/>
      </w:tblGrid>
      <w:tr w:rsidR="00CC26B1" w14:paraId="12CDD6B4" w14:textId="77777777">
        <w:tblPrEx>
          <w:tblCellMar>
            <w:top w:w="0" w:type="dxa"/>
            <w:bottom w:w="0" w:type="dxa"/>
          </w:tblCellMar>
        </w:tblPrEx>
        <w:trPr>
          <w:tblHeader/>
        </w:trPr>
        <w:tc>
          <w:tcPr>
            <w:tcW w:w="2400" w:type="dxa"/>
            <w:shd w:val="clear" w:color="auto" w:fill="E7EEF7"/>
          </w:tcPr>
          <w:p w14:paraId="5A04E82F" w14:textId="77777777" w:rsidR="00CC26B1" w:rsidRDefault="00000000">
            <w:r>
              <w:rPr>
                <w:b/>
                <w:bCs/>
              </w:rPr>
              <w:t>KPI</w:t>
            </w:r>
          </w:p>
        </w:tc>
        <w:tc>
          <w:tcPr>
            <w:tcW w:w="1500" w:type="dxa"/>
            <w:shd w:val="clear" w:color="auto" w:fill="E7EEF7"/>
          </w:tcPr>
          <w:p w14:paraId="094C2EF1" w14:textId="77777777" w:rsidR="00CC26B1" w:rsidRDefault="00000000">
            <w:r>
              <w:rPr>
                <w:b/>
                <w:bCs/>
              </w:rPr>
              <w:t>Learned</w:t>
            </w:r>
          </w:p>
        </w:tc>
        <w:tc>
          <w:tcPr>
            <w:tcW w:w="1500" w:type="dxa"/>
            <w:shd w:val="clear" w:color="auto" w:fill="E7EEF7"/>
          </w:tcPr>
          <w:p w14:paraId="4AB17B30" w14:textId="77777777" w:rsidR="00CC26B1" w:rsidRDefault="00000000">
            <w:r>
              <w:rPr>
                <w:b/>
                <w:bCs/>
              </w:rPr>
              <w:t>Random</w:t>
            </w:r>
          </w:p>
        </w:tc>
        <w:tc>
          <w:tcPr>
            <w:tcW w:w="1500" w:type="dxa"/>
            <w:shd w:val="clear" w:color="auto" w:fill="E7EEF7"/>
          </w:tcPr>
          <w:p w14:paraId="15CFBDA7" w14:textId="77777777" w:rsidR="00CC26B1" w:rsidRDefault="00000000">
            <w:r>
              <w:rPr>
                <w:b/>
                <w:bCs/>
              </w:rPr>
              <w:t>Gain</w:t>
            </w:r>
          </w:p>
        </w:tc>
        <w:tc>
          <w:tcPr>
            <w:tcW w:w="1450" w:type="dxa"/>
            <w:shd w:val="clear" w:color="auto" w:fill="E7EEF7"/>
          </w:tcPr>
          <w:p w14:paraId="5DAB61A5" w14:textId="77777777" w:rsidR="00CC26B1" w:rsidRDefault="00000000">
            <w:r>
              <w:rPr>
                <w:b/>
                <w:bCs/>
              </w:rPr>
              <w:t>Gain %</w:t>
            </w:r>
          </w:p>
        </w:tc>
      </w:tr>
      <w:tr w:rsidR="00CC26B1" w14:paraId="0EDE37FB" w14:textId="77777777">
        <w:tblPrEx>
          <w:tblCellMar>
            <w:top w:w="0" w:type="dxa"/>
            <w:bottom w:w="0" w:type="dxa"/>
          </w:tblCellMar>
        </w:tblPrEx>
        <w:tc>
          <w:tcPr>
            <w:tcW w:w="2400" w:type="dxa"/>
          </w:tcPr>
          <w:p w14:paraId="7DB2701C" w14:textId="77777777" w:rsidR="00CC26B1" w:rsidRDefault="00000000">
            <w:r>
              <w:t>Cell DL Throughput (T_cell)</w:t>
            </w:r>
          </w:p>
        </w:tc>
        <w:tc>
          <w:tcPr>
            <w:tcW w:w="1500" w:type="dxa"/>
          </w:tcPr>
          <w:p w14:paraId="4183CF45" w14:textId="77777777" w:rsidR="00CC26B1" w:rsidRDefault="00000000">
            <w:r>
              <w:t>602.6 Mbps</w:t>
            </w:r>
          </w:p>
        </w:tc>
        <w:tc>
          <w:tcPr>
            <w:tcW w:w="1500" w:type="dxa"/>
          </w:tcPr>
          <w:p w14:paraId="78B34F86" w14:textId="77777777" w:rsidR="00CC26B1" w:rsidRDefault="00000000">
            <w:r>
              <w:t>540.8 Mbps</w:t>
            </w:r>
          </w:p>
        </w:tc>
        <w:tc>
          <w:tcPr>
            <w:tcW w:w="1500" w:type="dxa"/>
          </w:tcPr>
          <w:p w14:paraId="11FEB022" w14:textId="77777777" w:rsidR="00CC26B1" w:rsidRDefault="00000000">
            <w:r>
              <w:t>+61.9 Mbps</w:t>
            </w:r>
          </w:p>
        </w:tc>
        <w:tc>
          <w:tcPr>
            <w:tcW w:w="1450" w:type="dxa"/>
          </w:tcPr>
          <w:p w14:paraId="72B7C3C4" w14:textId="77777777" w:rsidR="00CC26B1" w:rsidRDefault="00000000">
            <w:r>
              <w:t>+11.4%</w:t>
            </w:r>
          </w:p>
        </w:tc>
      </w:tr>
      <w:tr w:rsidR="00CC26B1" w14:paraId="68769BB8" w14:textId="77777777">
        <w:tblPrEx>
          <w:tblCellMar>
            <w:top w:w="0" w:type="dxa"/>
            <w:bottom w:w="0" w:type="dxa"/>
          </w:tblCellMar>
        </w:tblPrEx>
        <w:tc>
          <w:tcPr>
            <w:tcW w:w="2400" w:type="dxa"/>
          </w:tcPr>
          <w:p w14:paraId="7E1662BC" w14:textId="77777777" w:rsidR="00CC26B1" w:rsidRDefault="00000000">
            <w:r>
              <w:t>Cell Edge Throughput (T_edge)</w:t>
            </w:r>
          </w:p>
        </w:tc>
        <w:tc>
          <w:tcPr>
            <w:tcW w:w="1500" w:type="dxa"/>
          </w:tcPr>
          <w:p w14:paraId="3BD6BC3C" w14:textId="77777777" w:rsidR="00CC26B1" w:rsidRDefault="00000000">
            <w:r>
              <w:t>34.6 Mbps</w:t>
            </w:r>
          </w:p>
        </w:tc>
        <w:tc>
          <w:tcPr>
            <w:tcW w:w="1500" w:type="dxa"/>
          </w:tcPr>
          <w:p w14:paraId="38001FE4" w14:textId="77777777" w:rsidR="00CC26B1" w:rsidRDefault="00000000">
            <w:r>
              <w:t>29.1 Mbps</w:t>
            </w:r>
          </w:p>
        </w:tc>
        <w:tc>
          <w:tcPr>
            <w:tcW w:w="1500" w:type="dxa"/>
          </w:tcPr>
          <w:p w14:paraId="77D43C5A" w14:textId="77777777" w:rsidR="00CC26B1" w:rsidRDefault="00000000">
            <w:r>
              <w:t>+5.5 Mbps</w:t>
            </w:r>
          </w:p>
        </w:tc>
        <w:tc>
          <w:tcPr>
            <w:tcW w:w="1450" w:type="dxa"/>
          </w:tcPr>
          <w:p w14:paraId="241C3053" w14:textId="77777777" w:rsidR="00CC26B1" w:rsidRDefault="00000000">
            <w:r>
              <w:t>+18.9%</w:t>
            </w:r>
          </w:p>
        </w:tc>
      </w:tr>
      <w:tr w:rsidR="00CC26B1" w14:paraId="22C053A7" w14:textId="77777777">
        <w:tblPrEx>
          <w:tblCellMar>
            <w:top w:w="0" w:type="dxa"/>
            <w:bottom w:w="0" w:type="dxa"/>
          </w:tblCellMar>
        </w:tblPrEx>
        <w:tc>
          <w:tcPr>
            <w:tcW w:w="2400" w:type="dxa"/>
          </w:tcPr>
          <w:p w14:paraId="2940CB32" w14:textId="77777777" w:rsidR="00CC26B1" w:rsidRDefault="00000000">
            <w:r>
              <w:t>PRB Utilization (U_PRB)</w:t>
            </w:r>
          </w:p>
        </w:tc>
        <w:tc>
          <w:tcPr>
            <w:tcW w:w="1500" w:type="dxa"/>
          </w:tcPr>
          <w:p w14:paraId="35BFFF7A" w14:textId="77777777" w:rsidR="00CC26B1" w:rsidRDefault="00000000">
            <w:r>
              <w:t>0.721</w:t>
            </w:r>
          </w:p>
        </w:tc>
        <w:tc>
          <w:tcPr>
            <w:tcW w:w="1500" w:type="dxa"/>
          </w:tcPr>
          <w:p w14:paraId="21B8BBA5" w14:textId="77777777" w:rsidR="00CC26B1" w:rsidRDefault="00000000">
            <w:r>
              <w:t>0.683</w:t>
            </w:r>
          </w:p>
        </w:tc>
        <w:tc>
          <w:tcPr>
            <w:tcW w:w="1500" w:type="dxa"/>
          </w:tcPr>
          <w:p w14:paraId="470377FE" w14:textId="77777777" w:rsidR="00CC26B1" w:rsidRDefault="00000000">
            <w:r>
              <w:t>+0.037</w:t>
            </w:r>
          </w:p>
        </w:tc>
        <w:tc>
          <w:tcPr>
            <w:tcW w:w="1450" w:type="dxa"/>
          </w:tcPr>
          <w:p w14:paraId="6B1F16F3" w14:textId="77777777" w:rsidR="00CC26B1" w:rsidRDefault="00000000">
            <w:r>
              <w:t>+5.5%</w:t>
            </w:r>
          </w:p>
        </w:tc>
      </w:tr>
      <w:tr w:rsidR="00CC26B1" w14:paraId="5145C439" w14:textId="77777777">
        <w:tblPrEx>
          <w:tblCellMar>
            <w:top w:w="0" w:type="dxa"/>
            <w:bottom w:w="0" w:type="dxa"/>
          </w:tblCellMar>
        </w:tblPrEx>
        <w:tc>
          <w:tcPr>
            <w:tcW w:w="2400" w:type="dxa"/>
          </w:tcPr>
          <w:p w14:paraId="4755EC62" w14:textId="77777777" w:rsidR="00CC26B1" w:rsidRDefault="00000000">
            <w:r>
              <w:t>Fairness (F)</w:t>
            </w:r>
          </w:p>
        </w:tc>
        <w:tc>
          <w:tcPr>
            <w:tcW w:w="1500" w:type="dxa"/>
          </w:tcPr>
          <w:p w14:paraId="465A46B7" w14:textId="77777777" w:rsidR="00CC26B1" w:rsidRDefault="00000000">
            <w:r>
              <w:t>0.693</w:t>
            </w:r>
          </w:p>
        </w:tc>
        <w:tc>
          <w:tcPr>
            <w:tcW w:w="1500" w:type="dxa"/>
          </w:tcPr>
          <w:p w14:paraId="1057AF87" w14:textId="77777777" w:rsidR="00CC26B1" w:rsidRDefault="00000000">
            <w:r>
              <w:t>0.582</w:t>
            </w:r>
          </w:p>
        </w:tc>
        <w:tc>
          <w:tcPr>
            <w:tcW w:w="1500" w:type="dxa"/>
          </w:tcPr>
          <w:p w14:paraId="0EF587BE" w14:textId="77777777" w:rsidR="00CC26B1" w:rsidRDefault="00000000">
            <w:r>
              <w:t>+0.112</w:t>
            </w:r>
          </w:p>
        </w:tc>
        <w:tc>
          <w:tcPr>
            <w:tcW w:w="1450" w:type="dxa"/>
          </w:tcPr>
          <w:p w14:paraId="7C653240" w14:textId="77777777" w:rsidR="00CC26B1" w:rsidRDefault="00000000">
            <w:r>
              <w:t>+19.2%</w:t>
            </w:r>
          </w:p>
        </w:tc>
      </w:tr>
      <w:tr w:rsidR="00CC26B1" w14:paraId="0414F24B" w14:textId="77777777">
        <w:tblPrEx>
          <w:tblCellMar>
            <w:top w:w="0" w:type="dxa"/>
            <w:bottom w:w="0" w:type="dxa"/>
          </w:tblCellMar>
        </w:tblPrEx>
        <w:tc>
          <w:tcPr>
            <w:tcW w:w="2400" w:type="dxa"/>
          </w:tcPr>
          <w:p w14:paraId="7C85AC06" w14:textId="77777777" w:rsidR="00CC26B1" w:rsidRDefault="00000000">
            <w:r>
              <w:t>Energy Efficiency (E)</w:t>
            </w:r>
          </w:p>
        </w:tc>
        <w:tc>
          <w:tcPr>
            <w:tcW w:w="1500" w:type="dxa"/>
          </w:tcPr>
          <w:p w14:paraId="2F2562E8" w14:textId="77777777" w:rsidR="00CC26B1" w:rsidRDefault="00000000">
            <w:r>
              <w:t>0.557</w:t>
            </w:r>
          </w:p>
        </w:tc>
        <w:tc>
          <w:tcPr>
            <w:tcW w:w="1500" w:type="dxa"/>
          </w:tcPr>
          <w:p w14:paraId="48503A5E" w14:textId="77777777" w:rsidR="00CC26B1" w:rsidRDefault="00000000">
            <w:r>
              <w:t>0.447</w:t>
            </w:r>
          </w:p>
        </w:tc>
        <w:tc>
          <w:tcPr>
            <w:tcW w:w="1500" w:type="dxa"/>
          </w:tcPr>
          <w:p w14:paraId="48DC0B0E" w14:textId="77777777" w:rsidR="00CC26B1" w:rsidRDefault="00000000">
            <w:r>
              <w:t>+0.110</w:t>
            </w:r>
          </w:p>
        </w:tc>
        <w:tc>
          <w:tcPr>
            <w:tcW w:w="1450" w:type="dxa"/>
          </w:tcPr>
          <w:p w14:paraId="3CA0E8EF" w14:textId="77777777" w:rsidR="00CC26B1" w:rsidRDefault="00000000">
            <w:r>
              <w:t>+24.5%</w:t>
            </w:r>
          </w:p>
        </w:tc>
      </w:tr>
    </w:tbl>
    <w:p w14:paraId="329FD614" w14:textId="77777777" w:rsidR="00CC26B1" w:rsidRDefault="00CC26B1">
      <w:pPr>
        <w:spacing w:after="200"/>
      </w:pPr>
    </w:p>
    <w:p w14:paraId="38E484E6" w14:textId="77777777" w:rsidR="00CC26B1" w:rsidRDefault="00000000">
      <w:pPr>
        <w:spacing w:after="160"/>
        <w:jc w:val="both"/>
      </w:pPr>
      <w:r>
        <w:rPr>
          <w:sz w:val="22"/>
          <w:szCs w:val="22"/>
        </w:rPr>
        <w:t>A notable pattern: Energy Efficiency and Fairness show the largest relative gains (+24.5% and +19.2%) even though they carry the smallest reward weights (w₅=0.05 and w₄=0.10). This is because both KPIs are the ones most damaged by naive or random PRB over-allocation (congestion) — so a policy that learns to avoid congestion in order to capture the heavily-weighted throughput terms recovers Fairness and Energy Efficiency disproportionately as a side effect, on top of directly optimizing Cell DL/Edge Throughput (+11.4% / +18.9%) and PRB Utilization (+5.5%).</w:t>
      </w:r>
    </w:p>
    <w:p w14:paraId="31CB37E8" w14:textId="77777777" w:rsidR="00CC26B1" w:rsidRDefault="00000000">
      <w:pPr>
        <w:pStyle w:val="Heading1"/>
        <w:spacing w:before="280" w:after="140"/>
      </w:pPr>
      <w:r>
        <w:t>8. Discussion: Bandit versus Full MDP</w:t>
      </w:r>
    </w:p>
    <w:p w14:paraId="5C2C9CA4" w14:textId="77777777" w:rsidR="00CC26B1" w:rsidRDefault="00000000">
      <w:pPr>
        <w:spacing w:after="160"/>
        <w:jc w:val="both"/>
      </w:pPr>
      <w:r>
        <w:rPr>
          <w:sz w:val="22"/>
          <w:szCs w:val="22"/>
        </w:rPr>
        <w:t>The table below summarizes the elements that a full-MDP PPO formulation requires and that this single-step reduction removes.</w:t>
      </w:r>
    </w:p>
    <w:p w14:paraId="368225DB" w14:textId="77777777" w:rsidR="00CC26B1" w:rsidRDefault="00000000">
      <w:pPr>
        <w:spacing w:before="100" w:after="240"/>
        <w:jc w:val="center"/>
      </w:pPr>
      <w:r>
        <w:rPr>
          <w:i/>
          <w:iCs/>
        </w:rPr>
        <w:t>Table 5: Full-MDP PPO versus single-step (bandit) PPO.</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50"/>
      </w:tblGrid>
      <w:tr w:rsidR="00CC26B1" w14:paraId="2FF0C34F" w14:textId="77777777">
        <w:tblPrEx>
          <w:tblCellMar>
            <w:top w:w="0" w:type="dxa"/>
            <w:bottom w:w="0" w:type="dxa"/>
          </w:tblCellMar>
        </w:tblPrEx>
        <w:trPr>
          <w:tblHeader/>
        </w:trPr>
        <w:tc>
          <w:tcPr>
            <w:tcW w:w="3000" w:type="dxa"/>
            <w:shd w:val="clear" w:color="auto" w:fill="E7EEF7"/>
          </w:tcPr>
          <w:p w14:paraId="39F31A13" w14:textId="77777777" w:rsidR="00CC26B1" w:rsidRDefault="00000000">
            <w:r>
              <w:rPr>
                <w:b/>
                <w:bCs/>
              </w:rPr>
              <w:t>Element</w:t>
            </w:r>
          </w:p>
        </w:tc>
        <w:tc>
          <w:tcPr>
            <w:tcW w:w="3000" w:type="dxa"/>
            <w:shd w:val="clear" w:color="auto" w:fill="E7EEF7"/>
          </w:tcPr>
          <w:p w14:paraId="3E3C2ABC" w14:textId="77777777" w:rsidR="00CC26B1" w:rsidRDefault="00000000">
            <w:r>
              <w:rPr>
                <w:b/>
                <w:bCs/>
              </w:rPr>
              <w:t>Full MDP</w:t>
            </w:r>
          </w:p>
        </w:tc>
        <w:tc>
          <w:tcPr>
            <w:tcW w:w="3350" w:type="dxa"/>
            <w:shd w:val="clear" w:color="auto" w:fill="E7EEF7"/>
          </w:tcPr>
          <w:p w14:paraId="2540545A" w14:textId="77777777" w:rsidR="00CC26B1" w:rsidRDefault="00000000">
            <w:r>
              <w:rPr>
                <w:b/>
                <w:bCs/>
              </w:rPr>
              <w:t>Single-step (bandit)</w:t>
            </w:r>
          </w:p>
        </w:tc>
      </w:tr>
      <w:tr w:rsidR="00CC26B1" w14:paraId="12BF0B29" w14:textId="77777777">
        <w:tblPrEx>
          <w:tblCellMar>
            <w:top w:w="0" w:type="dxa"/>
            <w:bottom w:w="0" w:type="dxa"/>
          </w:tblCellMar>
        </w:tblPrEx>
        <w:tc>
          <w:tcPr>
            <w:tcW w:w="3000" w:type="dxa"/>
          </w:tcPr>
          <w:p w14:paraId="42817388" w14:textId="77777777" w:rsidR="00CC26B1" w:rsidRDefault="00000000">
            <w:r>
              <w:t>Discount factor</w:t>
            </w:r>
          </w:p>
        </w:tc>
        <w:tc>
          <w:tcPr>
            <w:tcW w:w="3000" w:type="dxa"/>
          </w:tcPr>
          <w:p w14:paraId="7B3A0D55" w14:textId="77777777" w:rsidR="00CC26B1" w:rsidRDefault="00000000">
            <w:r>
              <w:t>γ ∈ (0,1]</w:t>
            </w:r>
          </w:p>
        </w:tc>
        <w:tc>
          <w:tcPr>
            <w:tcW w:w="3350" w:type="dxa"/>
          </w:tcPr>
          <w:p w14:paraId="7D1E696A" w14:textId="77777777" w:rsidR="00CC26B1" w:rsidRDefault="00000000">
            <w:r>
              <w:t>γ = 0</w:t>
            </w:r>
          </w:p>
        </w:tc>
      </w:tr>
      <w:tr w:rsidR="00CC26B1" w14:paraId="6056D775" w14:textId="77777777">
        <w:tblPrEx>
          <w:tblCellMar>
            <w:top w:w="0" w:type="dxa"/>
            <w:bottom w:w="0" w:type="dxa"/>
          </w:tblCellMar>
        </w:tblPrEx>
        <w:tc>
          <w:tcPr>
            <w:tcW w:w="3000" w:type="dxa"/>
          </w:tcPr>
          <w:p w14:paraId="461BDCEA" w14:textId="77777777" w:rsidR="00CC26B1" w:rsidRDefault="00000000">
            <w:r>
              <w:t>Return</w:t>
            </w:r>
          </w:p>
        </w:tc>
        <w:tc>
          <w:tcPr>
            <w:tcW w:w="3000" w:type="dxa"/>
          </w:tcPr>
          <w:p w14:paraId="35F6DF9D" w14:textId="77777777" w:rsidR="00CC26B1" w:rsidRDefault="00000000">
            <w:r>
              <w:t>Discounted sum</w:t>
            </w:r>
          </w:p>
        </w:tc>
        <w:tc>
          <w:tcPr>
            <w:tcW w:w="3350" w:type="dxa"/>
          </w:tcPr>
          <w:p w14:paraId="5AED655F" w14:textId="77777777" w:rsidR="00CC26B1" w:rsidRDefault="00000000">
            <w:r>
              <w:t>Immediate reward rₜ</w:t>
            </w:r>
          </w:p>
        </w:tc>
      </w:tr>
      <w:tr w:rsidR="00CC26B1" w14:paraId="4AB72582" w14:textId="77777777">
        <w:tblPrEx>
          <w:tblCellMar>
            <w:top w:w="0" w:type="dxa"/>
            <w:bottom w:w="0" w:type="dxa"/>
          </w:tblCellMar>
        </w:tblPrEx>
        <w:tc>
          <w:tcPr>
            <w:tcW w:w="3000" w:type="dxa"/>
          </w:tcPr>
          <w:p w14:paraId="7E949D8F" w14:textId="77777777" w:rsidR="00CC26B1" w:rsidRDefault="00000000">
            <w:r>
              <w:t>Advantage estimator</w:t>
            </w:r>
          </w:p>
        </w:tc>
        <w:tc>
          <w:tcPr>
            <w:tcW w:w="3000" w:type="dxa"/>
          </w:tcPr>
          <w:p w14:paraId="266D7308" w14:textId="77777777" w:rsidR="00CC26B1" w:rsidRDefault="00000000">
            <w:r>
              <w:t>GAE(λ)</w:t>
            </w:r>
          </w:p>
        </w:tc>
        <w:tc>
          <w:tcPr>
            <w:tcW w:w="3350" w:type="dxa"/>
          </w:tcPr>
          <w:p w14:paraId="4FE2CBF4" w14:textId="77777777" w:rsidR="00CC26B1" w:rsidRDefault="00000000">
            <w:r>
              <w:t>rₜ − Vᵡ(sₜ)</w:t>
            </w:r>
          </w:p>
        </w:tc>
      </w:tr>
      <w:tr w:rsidR="00CC26B1" w14:paraId="6721128F" w14:textId="77777777">
        <w:tblPrEx>
          <w:tblCellMar>
            <w:top w:w="0" w:type="dxa"/>
            <w:bottom w:w="0" w:type="dxa"/>
          </w:tblCellMar>
        </w:tblPrEx>
        <w:tc>
          <w:tcPr>
            <w:tcW w:w="3000" w:type="dxa"/>
          </w:tcPr>
          <w:p w14:paraId="6F26CC35" w14:textId="77777777" w:rsidR="00CC26B1" w:rsidRDefault="00000000">
            <w:r>
              <w:t>Value bootstrap</w:t>
            </w:r>
          </w:p>
        </w:tc>
        <w:tc>
          <w:tcPr>
            <w:tcW w:w="3000" w:type="dxa"/>
          </w:tcPr>
          <w:p w14:paraId="3E75013E" w14:textId="77777777" w:rsidR="00CC26B1" w:rsidRDefault="00000000">
            <w:r>
              <w:t>V(sₜ₊₁) used</w:t>
            </w:r>
          </w:p>
        </w:tc>
        <w:tc>
          <w:tcPr>
            <w:tcW w:w="3350" w:type="dxa"/>
          </w:tcPr>
          <w:p w14:paraId="29BD8842" w14:textId="77777777" w:rsidR="00CC26B1" w:rsidRDefault="00000000">
            <w:r>
              <w:t>Not applicable</w:t>
            </w:r>
          </w:p>
        </w:tc>
      </w:tr>
      <w:tr w:rsidR="00CC26B1" w14:paraId="3BC30F7F" w14:textId="77777777">
        <w:tblPrEx>
          <w:tblCellMar>
            <w:top w:w="0" w:type="dxa"/>
            <w:bottom w:w="0" w:type="dxa"/>
          </w:tblCellMar>
        </w:tblPrEx>
        <w:tc>
          <w:tcPr>
            <w:tcW w:w="3000" w:type="dxa"/>
          </w:tcPr>
          <w:p w14:paraId="7AD1D5D5" w14:textId="77777777" w:rsidR="00CC26B1" w:rsidRDefault="00000000">
            <w:r>
              <w:t>State transition</w:t>
            </w:r>
          </w:p>
        </w:tc>
        <w:tc>
          <w:tcPr>
            <w:tcW w:w="3000" w:type="dxa"/>
          </w:tcPr>
          <w:p w14:paraId="5F053D12" w14:textId="77777777" w:rsidR="00CC26B1" w:rsidRDefault="00000000">
            <w:r>
              <w:t>sₜ₊₁ = f(sₜ,aₜ)</w:t>
            </w:r>
          </w:p>
        </w:tc>
        <w:tc>
          <w:tcPr>
            <w:tcW w:w="3350" w:type="dxa"/>
          </w:tcPr>
          <w:p w14:paraId="6704BC92" w14:textId="77777777" w:rsidR="00CC26B1" w:rsidRDefault="00000000">
            <w:r>
              <w:t>None; i.i.d. context draws</w:t>
            </w:r>
          </w:p>
        </w:tc>
      </w:tr>
      <w:tr w:rsidR="00CC26B1" w14:paraId="413232D3" w14:textId="77777777">
        <w:tblPrEx>
          <w:tblCellMar>
            <w:top w:w="0" w:type="dxa"/>
            <w:bottom w:w="0" w:type="dxa"/>
          </w:tblCellMar>
        </w:tblPrEx>
        <w:tc>
          <w:tcPr>
            <w:tcW w:w="3000" w:type="dxa"/>
          </w:tcPr>
          <w:p w14:paraId="4536488A" w14:textId="77777777" w:rsidR="00CC26B1" w:rsidRDefault="00000000">
            <w:r>
              <w:t>Episode length</w:t>
            </w:r>
          </w:p>
        </w:tc>
        <w:tc>
          <w:tcPr>
            <w:tcW w:w="3000" w:type="dxa"/>
          </w:tcPr>
          <w:p w14:paraId="4E89A1F6" w14:textId="77777777" w:rsidR="00CC26B1" w:rsidRDefault="00000000">
            <w:r>
              <w:t>Multi-step</w:t>
            </w:r>
          </w:p>
        </w:tc>
        <w:tc>
          <w:tcPr>
            <w:tcW w:w="3350" w:type="dxa"/>
          </w:tcPr>
          <w:p w14:paraId="11172D51" w14:textId="77777777" w:rsidR="00CC26B1" w:rsidRDefault="00000000">
            <w:r>
              <w:t>1</w:t>
            </w:r>
          </w:p>
        </w:tc>
      </w:tr>
    </w:tbl>
    <w:p w14:paraId="3DD49D8C" w14:textId="77777777" w:rsidR="00CC26B1" w:rsidRDefault="00CC26B1">
      <w:pPr>
        <w:spacing w:after="200"/>
      </w:pPr>
    </w:p>
    <w:p w14:paraId="20ACD5FC" w14:textId="6079F15B" w:rsidR="00CC26B1" w:rsidRDefault="00000000">
      <w:pPr>
        <w:spacing w:after="160"/>
        <w:jc w:val="both"/>
      </w:pPr>
      <w:r>
        <w:rPr>
          <w:sz w:val="22"/>
          <w:szCs w:val="22"/>
        </w:rPr>
        <w:t>Applying the bandit reduction is</w:t>
      </w:r>
      <w:r w:rsidR="004A05CE">
        <w:rPr>
          <w:sz w:val="22"/>
          <w:szCs w:val="22"/>
        </w:rPr>
        <w:t>u</w:t>
      </w:r>
      <w:r>
        <w:rPr>
          <w:sz w:val="22"/>
          <w:szCs w:val="22"/>
        </w:rPr>
        <w:t xml:space="preserve"> appropriate whenever the action taken does not causally influence the context presented on the next call — for example, an inference-only decision engine that scores an independent snapshot of system conditions on each invocation. It is not appropriate once decisions have delayed or cumulative effects on future context (e.g., fatigue or state drift induced by earlier actions), in which case the full MDP formulation with GAE and bootstrapped value targets is required instead.</w:t>
      </w:r>
    </w:p>
    <w:p w14:paraId="2199DB06" w14:textId="77777777" w:rsidR="00CC26B1" w:rsidRDefault="00000000">
      <w:pPr>
        <w:pStyle w:val="Heading1"/>
        <w:spacing w:before="280" w:after="140"/>
      </w:pPr>
      <w:r>
        <w:t>9. Conclusion</w:t>
      </w:r>
    </w:p>
    <w:p w14:paraId="26742AAE" w14:textId="77777777" w:rsidR="00CC26B1" w:rsidRDefault="00000000">
      <w:pPr>
        <w:spacing w:after="160"/>
        <w:jc w:val="both"/>
      </w:pPr>
      <w:r>
        <w:rPr>
          <w:sz w:val="22"/>
          <w:szCs w:val="22"/>
        </w:rPr>
        <w:t>For a five-dimensional context vector and a single decision per episode, the PPO objective reduces cleanly to a contextual-bandit update: the advantage is reward minus a learned baseline, and no discounting, bootstrapping, or GAE is required. Applied to a 6 GHz / 200 MHz eMBB-only RAN scenario with a weighted-sum reward over five KPIs, the trained policy improves aggregate reward by ~12% over a random baseline, with the largest relative per-KPI gains appearing in Fairness and Energy Efficiency — the two KPIs most sensitive to avoiding PRB congestion. This distinction between single-step and full-MDP formulations should be stated explicitly in any writeup, since describing a single-step system as a full MDP overstates its temporal structure.</w:t>
      </w:r>
    </w:p>
    <w:p w14:paraId="51962336" w14:textId="77777777" w:rsidR="00CC26B1" w:rsidRDefault="00000000">
      <w:pPr>
        <w:pStyle w:val="Heading1"/>
        <w:spacing w:before="280" w:after="140"/>
      </w:pPr>
      <w:r>
        <w:t>References</w:t>
      </w:r>
    </w:p>
    <w:p w14:paraId="07D1ABD5" w14:textId="77777777" w:rsidR="00CC26B1" w:rsidRDefault="00000000">
      <w:pPr>
        <w:spacing w:after="160"/>
        <w:jc w:val="both"/>
      </w:pPr>
      <w:r>
        <w:rPr>
          <w:sz w:val="22"/>
          <w:szCs w:val="22"/>
        </w:rPr>
        <w:t xml:space="preserve">[1] J. Schulman, F. </w:t>
      </w:r>
      <w:proofErr w:type="spellStart"/>
      <w:r>
        <w:rPr>
          <w:sz w:val="22"/>
          <w:szCs w:val="22"/>
        </w:rPr>
        <w:t>Wolski</w:t>
      </w:r>
      <w:proofErr w:type="spellEnd"/>
      <w:r>
        <w:rPr>
          <w:sz w:val="22"/>
          <w:szCs w:val="22"/>
        </w:rPr>
        <w:t xml:space="preserve">, P. </w:t>
      </w:r>
      <w:proofErr w:type="spellStart"/>
      <w:r>
        <w:rPr>
          <w:sz w:val="22"/>
          <w:szCs w:val="22"/>
        </w:rPr>
        <w:t>Dhariwal</w:t>
      </w:r>
      <w:proofErr w:type="spellEnd"/>
      <w:r>
        <w:rPr>
          <w:sz w:val="22"/>
          <w:szCs w:val="22"/>
        </w:rPr>
        <w:t xml:space="preserve">, A. </w:t>
      </w:r>
      <w:proofErr w:type="spellStart"/>
      <w:r>
        <w:rPr>
          <w:sz w:val="22"/>
          <w:szCs w:val="22"/>
        </w:rPr>
        <w:t>Radford</w:t>
      </w:r>
      <w:proofErr w:type="spellEnd"/>
      <w:r>
        <w:rPr>
          <w:sz w:val="22"/>
          <w:szCs w:val="22"/>
        </w:rPr>
        <w:t xml:space="preserve">, and O. </w:t>
      </w:r>
      <w:proofErr w:type="spellStart"/>
      <w:r>
        <w:rPr>
          <w:sz w:val="22"/>
          <w:szCs w:val="22"/>
        </w:rPr>
        <w:t>Klimov</w:t>
      </w:r>
      <w:proofErr w:type="spellEnd"/>
      <w:r>
        <w:rPr>
          <w:sz w:val="22"/>
          <w:szCs w:val="22"/>
        </w:rPr>
        <w:t>, “Proximal Policy Optimization Algorithms,” arXiv preprint arXiv:1707.06347, 2017.</w:t>
      </w:r>
    </w:p>
    <w:sectPr w:rsidR="00CC26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6209E1"/>
    <w:multiLevelType w:val="hybridMultilevel"/>
    <w:tmpl w:val="FFFFFFFF"/>
    <w:lvl w:ilvl="0" w:tplc="37D68D82">
      <w:start w:val="1"/>
      <w:numFmt w:val="bullet"/>
      <w:lvlText w:val="●"/>
      <w:lvlJc w:val="left"/>
      <w:pPr>
        <w:ind w:left="720" w:hanging="360"/>
      </w:pPr>
    </w:lvl>
    <w:lvl w:ilvl="1" w:tplc="31C26F3C">
      <w:start w:val="1"/>
      <w:numFmt w:val="bullet"/>
      <w:lvlText w:val="○"/>
      <w:lvlJc w:val="left"/>
      <w:pPr>
        <w:ind w:left="1440" w:hanging="360"/>
      </w:pPr>
    </w:lvl>
    <w:lvl w:ilvl="2" w:tplc="CF720196">
      <w:start w:val="1"/>
      <w:numFmt w:val="bullet"/>
      <w:lvlText w:val="■"/>
      <w:lvlJc w:val="left"/>
      <w:pPr>
        <w:ind w:left="2160" w:hanging="360"/>
      </w:pPr>
    </w:lvl>
    <w:lvl w:ilvl="3" w:tplc="563A6E78">
      <w:start w:val="1"/>
      <w:numFmt w:val="bullet"/>
      <w:lvlText w:val="●"/>
      <w:lvlJc w:val="left"/>
      <w:pPr>
        <w:ind w:left="2880" w:hanging="360"/>
      </w:pPr>
    </w:lvl>
    <w:lvl w:ilvl="4" w:tplc="75363846">
      <w:start w:val="1"/>
      <w:numFmt w:val="bullet"/>
      <w:lvlText w:val="○"/>
      <w:lvlJc w:val="left"/>
      <w:pPr>
        <w:ind w:left="3600" w:hanging="360"/>
      </w:pPr>
    </w:lvl>
    <w:lvl w:ilvl="5" w:tplc="3998E47A">
      <w:start w:val="1"/>
      <w:numFmt w:val="bullet"/>
      <w:lvlText w:val="■"/>
      <w:lvlJc w:val="left"/>
      <w:pPr>
        <w:ind w:left="4320" w:hanging="360"/>
      </w:pPr>
    </w:lvl>
    <w:lvl w:ilvl="6" w:tplc="D050410C">
      <w:start w:val="1"/>
      <w:numFmt w:val="bullet"/>
      <w:lvlText w:val="●"/>
      <w:lvlJc w:val="left"/>
      <w:pPr>
        <w:ind w:left="5040" w:hanging="360"/>
      </w:pPr>
    </w:lvl>
    <w:lvl w:ilvl="7" w:tplc="C352BDF6">
      <w:start w:val="1"/>
      <w:numFmt w:val="bullet"/>
      <w:lvlText w:val="●"/>
      <w:lvlJc w:val="left"/>
      <w:pPr>
        <w:ind w:left="5760" w:hanging="360"/>
      </w:pPr>
    </w:lvl>
    <w:lvl w:ilvl="8" w:tplc="10E80FFA">
      <w:start w:val="1"/>
      <w:numFmt w:val="bullet"/>
      <w:lvlText w:val="●"/>
      <w:lvlJc w:val="left"/>
      <w:pPr>
        <w:ind w:left="6480" w:hanging="360"/>
      </w:pPr>
    </w:lvl>
  </w:abstractNum>
  <w:num w:numId="1" w16cid:durableId="150204182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6B1"/>
    <w:rsid w:val="00093275"/>
    <w:rsid w:val="002340FA"/>
    <w:rsid w:val="00412E84"/>
    <w:rsid w:val="0045059F"/>
    <w:rsid w:val="004A05CE"/>
    <w:rsid w:val="005C7B9A"/>
    <w:rsid w:val="00997C95"/>
    <w:rsid w:val="00A43EA7"/>
    <w:rsid w:val="00A858D0"/>
    <w:rsid w:val="00B600DF"/>
    <w:rsid w:val="00B62AFF"/>
    <w:rsid w:val="00B946CE"/>
    <w:rsid w:val="00CC26B1"/>
    <w:rsid w:val="00DC4DDA"/>
    <w:rsid w:val="00F80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3AC74"/>
  <w15:docId w15:val="{E50F32ED-24BB-2448-9DFC-C890DDA9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1908</Words>
  <Characters>10878</Characters>
  <Application>Microsoft Office Word</Application>
  <DocSecurity>0</DocSecurity>
  <Lines>90</Lines>
  <Paragraphs>25</Paragraphs>
  <ScaleCrop>false</ScaleCrop>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yenamandra</cp:lastModifiedBy>
  <cp:revision>13</cp:revision>
  <dcterms:created xsi:type="dcterms:W3CDTF">2026-08-12T04:17:00Z</dcterms:created>
  <dcterms:modified xsi:type="dcterms:W3CDTF">2026-08-12T05:29:00Z</dcterms:modified>
</cp:coreProperties>
</file>