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</w:pPr>
      <w:r>
        <w:rPr>
          <w:rFonts w:ascii="Times New Roman" w:hAnsi="Times New Roman"/>
          <w:b/>
          <w:sz w:val="22"/>
        </w:rPr>
        <w:t>Subject: For your review — revised NTN semantic-communications paper (SPACOMM 2027)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Dear Mubanga and Ram,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You will recall our paper “Application-Specific Semantic and Task-Oriented Communication for Massive IoT over NTN,” which IEEE rejected. The reviewers’ main objection was the absence of substantive experimental results — the headline 32.5× gain was an illustrative calculation, a section titled “Required Results” made the paper look unfinished, and five applications were too broad.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I have revised it from scratch for resubmission to SPACOMM 2027 (IARIA, Lisbon, April 18–22, 2027; full-paper deadline December 28, 2026), a non-IEEE venue with a dedicated satellite–IoT–6G track. The retitled paper is “From Illustrative to Measured: Task-Oriented Semantic mIoT over NTN for Remote Agriculture and Environmental Sensing.”</w:t>
      </w:r>
    </w:p>
    <w:p>
      <w:pPr>
        <w:spacing w:after="60" w:before="0"/>
      </w:pPr>
      <w:r>
        <w:rPr>
          <w:rFonts w:ascii="Times New Roman" w:hAnsi="Times New Roman"/>
          <w:b/>
          <w:sz w:val="22"/>
        </w:rPr>
        <w:t>What changed: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The forward-looking “Required Results” section is gone, replaced by a real three-stage, trace-driven simulation (seeded and reproducible) comparing semantic reporting against raw periodic, compressed periodic, and event-triggered baselines.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Scope narrowed to two India-oriented applications: irrigation decisions (smart agriculture) and flood warnings (environmental monitoring).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Measured headline results: 42.6× offered-byte gain — 18.9× from report suppression, only 2.25× from smaller payloads; supportable devices per beam 50 → 1,600 for irrigation; conventional periodic reporting cannot meet the 45-minute flood-warning deadline at any modeled population (semantic supports 400); flood-warning recall 0.928 vs 0.157 for raw; ~99% device energy saving.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All figures regenerated (architecture figure completely redesigned); 26 references; reformatted to the IARIA template; limitations reframed as future work.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What I would like from you: please read the attached manuscript and send your edits and comments. In particular, please confirm your affiliation line as listed below, and flag anything I have missed or misstated.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Affiliations as currently listed: Rao Yenamandra — DigitalTwinSim, San Diego, CA, USA; Mubanga Nsofu — Vodacom, Johannesburg, South Africa; Ram Asokan — Wireless Research Center of North Carolina, USA.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If you could get comments back by [DATE], that leaves comfortable time for revisions before the December 28 submission deadline. Attached: the manuscript (PDF) and a one-page executive summary.</w:t>
      </w:r>
    </w:p>
    <w:p>
      <w:pPr>
        <w:spacing w:after="40" w:before="0"/>
      </w:pPr>
      <w:r>
        <w:rPr>
          <w:rFonts w:ascii="Times New Roman" w:hAnsi="Times New Roman"/>
          <w:b w:val="0"/>
          <w:sz w:val="22"/>
        </w:rPr>
        <w:t>Warm regards,</w:t>
      </w:r>
    </w:p>
    <w:p>
      <w:pPr>
        <w:spacing w:after="0" w:before="0"/>
      </w:pPr>
      <w:r>
        <w:rPr>
          <w:rFonts w:ascii="Times New Roman" w:hAnsi="Times New Roman"/>
          <w:b w:val="0"/>
          <w:sz w:val="22"/>
        </w:rPr>
        <w:t>Rao</w:t>
      </w:r>
    </w:p>
    <w:sectPr w:rsidR="00FC693F" w:rsidRPr="0006063C" w:rsidSect="00034616">
      <w:pgSz w:w="12240" w:h="15840"/>
      <w:pgMar w:top="960" w:right="1280" w:bottom="96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