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ind w:firstLine="0"/>
        <w:jc w:val="center"/>
      </w:pPr>
      <w:r>
        <w:rPr>
          <w:rFonts w:ascii="Times New Roman" w:hAnsi="Times New Roman"/>
          <w:b/>
          <w:sz w:val="32"/>
        </w:rPr>
        <w:t>From Illustrative to Measured: Task-Oriented Semantic mIoT over NTN for Remote Agriculture and Environmental Sensing</w:t>
      </w:r>
    </w:p>
    <w:p>
      <w:pPr>
        <w:spacing w:after="40"/>
        <w:ind w:firstLine="0"/>
        <w:jc w:val="center"/>
      </w:pPr>
      <w:r>
        <w:rPr>
          <w:rFonts w:ascii="Times New Roman" w:hAnsi="Times New Roman"/>
          <w:sz w:val="22"/>
        </w:rPr>
        <w:t>Rao Yenamandra, Mubanga Nsofu, Ram Asokan</w:t>
      </w:r>
    </w:p>
    <w:p>
      <w:pPr>
        <w:spacing w:after="40"/>
        <w:ind w:firstLine="0"/>
        <w:jc w:val="center"/>
      </w:pPr>
      <w:r>
        <w:rPr>
          <w:rFonts w:ascii="Times New Roman" w:hAnsi="Times New Roman"/>
          <w:sz w:val="20"/>
        </w:rPr>
        <w:t>DigitalTwinSim — San Diego, CA, USA; Vodacom — Johannesburg, South Africa; Wireless Research Center of North Carolina — USA</w:t>
      </w:r>
    </w:p>
    <w:p>
      <w:pPr>
        <w:spacing w:after="160"/>
        <w:ind w:firstLine="0"/>
        <w:jc w:val="center"/>
      </w:pPr>
      <w:r>
        <w:rPr>
          <w:rFonts w:ascii="Times New Roman" w:hAnsi="Times New Roman"/>
          <w:sz w:val="20"/>
        </w:rPr>
        <w:t>raosy@digitaltwinsim.com; mubanga.nsofu@vodacom.co.za; asokan.ram@wrc-nc.org</w:t>
      </w:r>
    </w:p>
    <w:p>
      <w:pPr>
        <w:spacing w:before="0" w:after="0"/>
        <w:ind w:firstLine="200"/>
      </w:pPr>
      <w:r>
        <w:rPr>
          <w:rFonts w:ascii="Times New Roman" w:hAnsi="Times New Roman"/>
          <w:b/>
          <w:sz w:val="20"/>
        </w:rPr>
        <w:t xml:space="preserve">Abstract - </w:t>
      </w:r>
      <w:r>
        <w:rPr>
          <w:rFonts w:ascii="Times New Roman" w:hAnsi="Times New Roman"/>
          <w:i w:val="0"/>
          <w:sz w:val="20"/>
        </w:rPr>
        <w:t>Non-terrestrial networks extend sixth-generation connectivity to massive Internet of Things deployments beyond economical terrestrial coverage, but periodic short reports incur disproportionate access, protocol, repetition, and retransmission overhead. This paper presents a measured evaluation of application-specific semantic and task-oriented reporting for massive Internet of Things over non-terrestrial networks, narrowed to two India-oriented applications: irrigation decisions for smart agriculture and flood warnings for environmental monitoring. Device or gateway intelligence extracts task-relevant features, estimates observation value and urgency, and admits only reports whose expected value justifies their access and airtime cost. A three-stage trace-driven simulation compares semantic reporting against raw periodic, compressed periodic, and event-triggered baselines under common task-quality, reliability, and deadline constraints. The measured offered-byte gain of 42.6× is dominated by report suppression (18.9×) rather than payload shrinkage (2.25×). Supported devices per beam increase from 50 to 1,600 for irrigation, while conventional periodic reporting cannot meet the flood-warning deadline at any modeled population. Semantic operation improves correct, timely task outcomes per unit of radio resource when the task tolerates sparse reporting; raw-data fallback remains required for audit, drift, and billing.</w:t>
      </w:r>
    </w:p>
    <w:p>
      <w:pPr>
        <w:spacing w:before="0" w:after="0"/>
        <w:ind w:firstLine="200"/>
      </w:pPr>
      <w:r>
        <w:rPr>
          <w:rFonts w:ascii="Times New Roman" w:hAnsi="Times New Roman"/>
          <w:b/>
          <w:sz w:val="20"/>
        </w:rPr>
        <w:t>Keywords-</w:t>
      </w:r>
      <w:r>
        <w:rPr>
          <w:rFonts w:ascii="Times New Roman" w:hAnsi="Times New Roman"/>
          <w:i w:val="0"/>
          <w:sz w:val="20"/>
        </w:rPr>
        <w:t>massive Internet of Things; non-terrestrial networks; semantic communication; task-oriented communication; satellite Internet of Things.</w:t>
      </w:r>
    </w:p>
    <w:p>
      <w:pPr>
        <w:sectPr>
          <w:pgSz w:w="12240" w:h="15840"/>
          <w:pgMar w:top="1417" w:right="1134" w:bottom="1417" w:left="1134" w:header="680" w:footer="680" w:gutter="0"/>
          <w:cols w:space="720"/>
          <w:docGrid w:linePitch="360"/>
        </w:sectPr>
      </w:pPr>
    </w:p>
    <w:p>
      <w:pPr>
        <w:pStyle w:val="Heading1"/>
      </w:pPr>
      <w:r>
        <w:t>I. INTRODUCTION</w:t>
      </w:r>
    </w:p>
    <w:p>
      <w:pPr>
        <w:spacing w:before="0" w:after="0"/>
        <w:ind w:firstLine="200"/>
      </w:pPr>
      <w:r>
        <w:rPr>
          <w:rFonts w:ascii="Times New Roman" w:hAnsi="Times New Roman"/>
          <w:i w:val="0"/>
          <w:sz w:val="20"/>
        </w:rPr>
        <w:t>Non-terrestrial networks (NTNs) extend massive Internet of Things (mIoT) connectivity to agriculture, environmental monitoring, logistics, maritime operations, and utilities that cannot be served economically by dense terrestrial deployments. Third Generation Partnership Project (3GPP) Release 17 work on Narrowband Internet of Things (NB-IoT) and enhanced Machine Type Communication (eMTC) established a standards foundation for Internet of Things over satellite access [1], and the International Telecommunication Union vision for IMT-2030 identifies massive communication, ubiquitous connectivity, sustainability, and artificial intelligence as central sixth-generation (6G) directions [2], [3].</w:t>
      </w:r>
    </w:p>
    <w:p>
      <w:pPr>
        <w:spacing w:before="0" w:after="0"/>
        <w:ind w:firstLine="200"/>
      </w:pPr>
      <w:r>
        <w:rPr>
          <w:rFonts w:ascii="Times New Roman" w:hAnsi="Times New Roman"/>
          <w:i w:val="0"/>
          <w:sz w:val="20"/>
        </w:rPr>
        <w:t>Coverage alone does not solve the scaling problem. A satellite beam aggregates very large populations of low-duty-cycle devices, each generating short messages that incur random-access, protocol, repetition, and retransmission overhead. Periodically conveying every sensed value treats the NTN as a content-unaware bit pipe even when the application needs only a decision: whether irrigation is required, or whether a flood threshold was exceeded. The cost is unnecessary terminal energy, satellite airtime, contention, queueing, storage, and processing.</w:t>
      </w:r>
    </w:p>
    <w:p>
      <w:pPr>
        <w:spacing w:before="0" w:after="0"/>
        <w:ind w:firstLine="200"/>
      </w:pPr>
      <w:r>
        <w:rPr>
          <w:rFonts w:ascii="Times New Roman" w:hAnsi="Times New Roman"/>
          <w:i w:val="0"/>
          <w:sz w:val="20"/>
        </w:rPr>
        <w:t>Semantic communication seeks to convey meaning rather than reproduce every source bit, whereas task-oriented (goal-oriented) communication optimizes the receiver's ability to complete an application objective [4], [5]. For mIoT the distinction is operationally useful: semantics determine what information is relevant, and task orientation determines whether that information deserves immediate NTN resources. This paper develops an application-specific framework connecting these ideas to measurable radio-access quantities: task throughput, supported devices per beam, and total device energy.</w:t>
      </w:r>
    </w:p>
    <w:p>
      <w:pPr>
        <w:spacing w:before="0" w:after="0"/>
        <w:ind w:firstLine="200"/>
      </w:pPr>
      <w:r>
        <w:rPr>
          <w:rFonts w:ascii="Times New Roman" w:hAnsi="Times New Roman"/>
          <w:i w:val="0"/>
          <w:sz w:val="20"/>
        </w:rPr>
        <w:t>Recent studies report large improvements: a semantics-aware low-Earth-orbit update policy halved the required energy arrival rate for a target information age [6]; a query-aware terrestrial/non-terrestrial formulation cut the charging rate by 73% [7]; an Open RAN-enabled semantic NTN study reported up to 87.5% lower delay [8]. These figures are cited as directional evidence only. This paper instead starts from two observable changes—bytes per admitted report and reports admitted per unit time—and converts them into measured task outcomes per unit of radio resource under fixed task-quality, reliability, and deadline constraints, with conventional compression and deterministic event triggering retained as mandatory baselines.</w:t>
      </w:r>
    </w:p>
    <w:p>
      <w:pPr>
        <w:spacing w:before="0" w:after="0"/>
        <w:ind w:firstLine="200"/>
      </w:pPr>
      <w:r>
        <w:rPr>
          <w:rFonts w:ascii="Times New Roman" w:hAnsi="Times New Roman"/>
          <w:i w:val="0"/>
          <w:sz w:val="20"/>
        </w:rPr>
        <w:t>The contributions are: (i) a narrowed, India-oriented evaluation on two applications—irrigation decisions and flood warnings—replacing an earlier illustrative treatment; (ii) a three-stage trace-driven simulation reporting means and standard deviations over five held-out seeds, including negative and break-even findings; (iii) an explicit attribution showing that the measured gain comes overwhelmingly from report suppression rather than payload shrinkage; and (iv) a complete reproducibility package. The work addresses the SPACOMM 2027 track on global coverage via 6G/7G through integration of 5G and Internet of Things with satellite networks. The paper claims no increase in physical-layer spectral efficiency: the reported gains are resource-utilization and task-outcome gains, as formalized in Section II.</w:t>
      </w:r>
    </w:p>
    <w:p>
      <w:pPr>
        <w:pStyle w:val="Heading1"/>
      </w:pPr>
      <w:r>
        <w:t>II. RELATED WORK AND RESEARCH GAP</w:t>
      </w:r>
    </w:p>
    <w:p>
      <w:pPr>
        <w:pStyle w:val="Heading2"/>
      </w:pPr>
      <w:r>
        <w:t>A. Semantic, Goal-Oriented, and Task-Oriented Communication</w:t>
      </w:r>
    </w:p>
    <w:p>
      <w:pPr>
        <w:spacing w:before="0" w:after="0"/>
        <w:ind w:firstLine="200"/>
      </w:pPr>
      <w:r>
        <w:rPr>
          <w:rFonts w:ascii="Times New Roman" w:hAnsi="Times New Roman"/>
          <w:i w:val="0"/>
          <w:sz w:val="20"/>
        </w:rPr>
        <w:t>The shift beyond bit-level fidelity has been motivated as a possible 6G transition beyond the separation of source meaning from channel delivery [4]. Metrics span semantic similarity, information freshness, value, task accuracy, and goal effectiveness [5], consolidated in a recent survey [9].</w:t>
      </w:r>
    </w:p>
    <w:p>
      <w:pPr>
        <w:spacing w:before="0" w:after="0"/>
        <w:ind w:firstLine="200"/>
      </w:pPr>
      <w:r>
        <w:rPr>
          <w:rFonts w:ascii="Times New Roman" w:hAnsi="Times New Roman"/>
          <w:i w:val="0"/>
          <w:sz w:val="20"/>
        </w:rPr>
        <w:t>Task-tied gains generalize poorly across scenarios: the field's flagship treatment presents semantic communication as generalized rate-distortion and warns of a tradeoff between optimization and generalization [10]. Semantic channel capacity can be higher or lower than physical capacity depending on semantic ambiguity and knowledge-base quality; claims of exceeding the Shannon limit hold only when the success criterion itself is changed [11]. Published percentage improvements use mutually incomparable metrics and baselines [12]. This paper therefore treats its bounded framing—gains reported per application, dataset, task constraint, energy model, access configuration, and load range—as consensus rather than timidity.</w:t>
      </w:r>
    </w:p>
    <w:p>
      <w:pPr>
        <w:pStyle w:val="Heading2"/>
      </w:pPr>
      <w:r>
        <w:t>B. Semantic Communication over NTN</w:t>
      </w:r>
    </w:p>
    <w:p>
      <w:pPr>
        <w:spacing w:before="0" w:after="0"/>
        <w:ind w:firstLine="200"/>
      </w:pPr>
      <w:r>
        <w:rPr>
          <w:rFonts w:ascii="Times New Roman" w:hAnsi="Times New Roman"/>
          <w:i w:val="0"/>
          <w:sz w:val="20"/>
        </w:rPr>
        <w:t>Goal-oriented medium access has been demonstrated with anomaly-triggered reporting driven by distributed belief about information correctness, improving on classical random access in large networks [13]. Semantic quality-aware resource allocation for NTN downlinks has been studied [14], [15], and a semantic communication architecture for non-terrestrial networks with AI-driven extraction and semantic-aware resource management has been evaluated experimentally in satellite–UAV–ground scenarios [16]. Source-side packet admission and drop rules that maximize a semantic-utility objective formalize which packets deserve airtime [17].</w:t>
      </w:r>
    </w:p>
    <w:p>
      <w:pPr>
        <w:pStyle w:val="Heading2"/>
      </w:pPr>
      <w:r>
        <w:t>C. NTN IoT Link and Energy Reality</w:t>
      </w:r>
    </w:p>
    <w:p>
      <w:pPr>
        <w:spacing w:before="0" w:after="0"/>
        <w:ind w:firstLine="200"/>
      </w:pPr>
      <w:r>
        <w:rPr>
          <w:rFonts w:ascii="Times New Roman" w:hAnsi="Times New Roman"/>
          <w:i w:val="0"/>
          <w:sz w:val="20"/>
        </w:rPr>
        <w:t>System-level simulation of NB-IoT over low-Earth orbit reports a 1.28 kb/s single-carrier uplink at 23 dBm, about 5 s end-to-end for a 300-byte message at low load, 660–890 supported users per spot, and per-spot visibility of only 45 s to 3.5 min [18]. Field measurements over a commercial geostationary NB-IoT link report a mean attach time of 93.3 s costing about 1.85 mAh, and payload transmission energy 150–420 times that of an optimal terrestrial link [19] (bachelor-thesis field measurements, cited as measured rather than peer-reviewed evidence). The implication, verified against both sources, is that access and setup dominate tiny payloads: the gain mechanism available to semantic reporting is overwhelmingly report suppression, not payload shrinkage. 3GPP Release 17 specifies bent-pipe NB-IoT NTN operation with disabled hybrid repeat-request and blind repetitions, while Release 19 store-and-forward operation is specified but not yet deployed [1]; the sparse low-Earth-orbit scenario in this paper is therefore standards-track rather than commercial reality.</w:t>
      </w:r>
    </w:p>
    <w:p>
      <w:pPr>
        <w:spacing w:before="0" w:after="0"/>
        <w:ind w:firstLine="200"/>
      </w:pPr>
      <w:r>
        <w:rPr>
          <w:rFonts w:ascii="Times New Roman" w:hAnsi="Times New Roman"/>
          <w:i w:val="0"/>
          <w:sz w:val="20"/>
        </w:rPr>
        <w:t>On the energy side, per-packet fixed overhead dominates short-packet communication energy, as shown empirically for LTE-M [20]; the communication-versus-computation tradeoff has been analyzed to locate where local semantic inference earns back more radio energy than it costs [21]; and int8 tiny machine-learning inference on Cortex-M4F hardware costs 0.54–0.92 mJ per inference [22]—an anchor that bounds, rather than equals, a semantic encoder's cost, since no published measurement of a semantic encoder on microcontroller-class hardware over a non-terrestrial link was found. Information freshness metrics and their variants [23] are used only where appropriate to the application; for alarms, detection delay and missed-alarm probability are more meaningful.</w:t>
      </w:r>
    </w:p>
    <w:p>
      <w:pPr>
        <w:pStyle w:val="Heading2"/>
      </w:pPr>
      <w:r>
        <w:t>D. Application Evidence</w:t>
      </w:r>
    </w:p>
    <w:p>
      <w:pPr>
        <w:spacing w:before="0" w:after="0"/>
        <w:ind w:firstLine="200"/>
      </w:pPr>
      <w:r>
        <w:rPr>
          <w:rFonts w:ascii="Times New Roman" w:hAnsi="Times New Roman"/>
          <w:i w:val="0"/>
          <w:sz w:val="20"/>
        </w:rPr>
        <w:t>For irrigation, edge-first tiny machine-learning nodes have demonstrated on-device irrigation-need prediction with mean absolute percentage error below 1% in controlled environments [24]—exactly the ‘transmit the decision, not the data’ traffic pattern assumed here. For flood warning, a 60-day field deployment of an AI-of-Things flash-flood system achieved detection probability above 0.92 [25]; that system used fifth-generation and camera links, so this paper's contribution is to approach comparable task performance under NTN link budgets, not to match the setup.</w:t>
      </w:r>
    </w:p>
    <w:p>
      <w:pPr>
        <w:pStyle w:val="Heading2"/>
      </w:pPr>
      <w:r>
        <w:t>E. Research Gap</w:t>
      </w:r>
    </w:p>
    <w:p>
      <w:pPr>
        <w:spacing w:before="0" w:after="0"/>
        <w:ind w:firstLine="200"/>
      </w:pPr>
      <w:r>
        <w:rPr>
          <w:rFonts w:ascii="Times New Roman" w:hAnsi="Times New Roman"/>
          <w:i w:val="0"/>
          <w:sz w:val="20"/>
        </w:rPr>
        <w:t>Event-triggered (Lebesgue) sampling—transmitting only on significant change—predates semantic communication by decades and is a measured, real gain not attributable to semantics or artificial intelligence [26]. Any semantic claim must therefore survive comparison against deterministic event triggering and conventional compression; this paper makes those ablations mandatory. Across the surveyed literature, no 2024–2026 publication was found that measures a semantic or task-oriented encoder running on microcontroller-class hardware over a real non-terrestrial or low-power wide-area link. The present work narrows that gap with a trace-driven simulation whose link and energy models are anchored in the measurements above, reporting honest negatives alongside gains.</w:t>
      </w:r>
    </w:p>
    <w:p>
      <w:pPr>
        <w:pStyle w:val="Heading1"/>
      </w:pPr>
      <w:r>
        <w:t>III. FRAMEWORK AND MODELS</w:t>
      </w:r>
    </w:p>
    <w:p>
      <w:pPr>
        <w:pStyle w:val="Heading2"/>
      </w:pPr>
      <w:r>
        <w:t>A. Functional Architecture</w:t>
      </w:r>
    </w:p>
    <w:p>
      <w:pPr>
        <w:spacing w:before="0" w:after="0"/>
        <w:ind w:firstLine="200"/>
      </w:pPr>
      <w:r>
        <w:rPr>
          <w:rFonts w:ascii="Times New Roman" w:hAnsi="Times New Roman"/>
          <w:i w:val="0"/>
          <w:sz w:val="20"/>
        </w:rPr>
        <w:t>Figure 1 shows the architecture. A semantic agent at the device or village gateway observes the application state, extracts a compact representation, assigns calibrated confidence and urgency, and decides what task-relevant information, if any, should cross the constrained NTN hop: a compact feature, an event or state summary, or a final task decision. An access controller admits a message only when its expected value at delivery justifies the access, airtime, energy, and collision cost. The receiving edge application decodes the semantic content, performs task inference, and returns task-accuracy feedback through a guarded learning loop; verified model updates travel outside the urgent short-packet path. Raw or losslessly compressed data remain available as fallback for audit, drift diagnosis, billing, and forensic analysis. Inference may reside at the sensor, gateway, satellite payload, or terrestrial edge, but only processing before the constrained hop can suppress traffic on that hop.</w:t>
      </w:r>
    </w:p>
    <w:p>
      <w:pPr>
        <w:spacing w:before="120" w:after="0"/>
        <w:ind w:firstLine="0"/>
        <w:jc w:val="center"/>
      </w:pPr>
      <w:r>
        <w:drawing>
          <wp:inline xmlns:a="http://schemas.openxmlformats.org/drawingml/2006/main" xmlns:pic="http://schemas.openxmlformats.org/drawingml/2006/picture">
            <wp:extent cx="3054096" cy="1926500"/>
            <wp:docPr id="1" name="Picture 1"/>
            <wp:cNvGraphicFramePr>
              <a:graphicFrameLocks noChangeAspect="1"/>
            </wp:cNvGraphicFramePr>
            <a:graphic>
              <a:graphicData uri="http://schemas.openxmlformats.org/drawingml/2006/picture">
                <pic:pic>
                  <pic:nvPicPr>
                    <pic:cNvPr id="0" name="fig1_architecture_v2.png"/>
                    <pic:cNvPicPr/>
                  </pic:nvPicPr>
                  <pic:blipFill>
                    <a:blip r:embed="rId9"/>
                    <a:stretch>
                      <a:fillRect/>
                    </a:stretch>
                  </pic:blipFill>
                  <pic:spPr>
                    <a:xfrm>
                      <a:off x="0" y="0"/>
                      <a:ext cx="3054096" cy="1926500"/>
                    </a:xfrm>
                    <a:prstGeom prst="rect"/>
                  </pic:spPr>
                </pic:pic>
              </a:graphicData>
            </a:graphic>
          </wp:inline>
        </w:drawing>
      </w:r>
    </w:p>
    <w:p>
      <w:pPr>
        <w:spacing w:before="120" w:after="120"/>
        <w:ind w:firstLine="0"/>
        <w:jc w:val="center"/>
      </w:pPr>
      <w:r>
        <w:rPr>
          <w:rFonts w:ascii="Times New Roman" w:hAnsi="Times New Roman"/>
          <w:sz w:val="16"/>
        </w:rPr>
        <w:t>Figure 1. Application-specific semantic / task-oriented mIoT over NTN: field sensing, on-device semantic agent, LEO uplink, edge task engine, and guarded learning loop.</w:t>
      </w:r>
    </w:p>
    <w:p>
      <w:pPr>
        <w:pStyle w:val="Heading2"/>
      </w:pPr>
      <w:r>
        <w:t>B. Traffic, Airtime, Throughput, and Energy Models</w:t>
      </w:r>
    </w:p>
    <w:p>
      <w:pPr>
        <w:spacing w:before="0" w:after="0"/>
        <w:ind w:firstLine="200"/>
      </w:pPr>
      <w:r>
        <w:rPr>
          <w:rFonts w:ascii="Times New Roman" w:hAnsi="Times New Roman"/>
          <w:i w:val="0"/>
          <w:sz w:val="20"/>
        </w:rPr>
        <w:t>For reporting scheme x, let Nx be the number of reports in an observation interval, Lx the application payload bytes per report, and H the fixed protocol, access, and framing overhead per report. The offered information volume is</w:t>
      </w:r>
    </w:p>
    <w:p>
      <w:pPr>
        <w:spacing w:before="80" w:after="80"/>
        <w:ind w:firstLine="0"/>
        <w:jc w:val="center"/>
      </w:pPr>
      <w:r>
        <w:rPr>
          <w:rFonts w:ascii="Times New Roman" w:hAnsi="Times New Roman"/>
          <w:sz w:val="20"/>
        </w:rPr>
        <w:t>Bx = Nx(H + Lx).   (1)</w:t>
      </w:r>
    </w:p>
    <w:p>
      <w:pPr>
        <w:spacing w:before="0" w:after="0"/>
        <w:ind w:firstLine="200"/>
      </w:pPr>
      <w:r>
        <w:rPr>
          <w:rFonts w:ascii="Times New Roman" w:hAnsi="Times New Roman"/>
          <w:i w:val="0"/>
          <w:sz w:val="20"/>
        </w:rPr>
        <w:t>Let TRA be the random-access and setup time, Kx the repetition factor, and R the effective transmission rate. The airtime per admitted report is</w:t>
      </w:r>
    </w:p>
    <w:p>
      <w:pPr>
        <w:spacing w:before="80" w:after="80"/>
        <w:ind w:firstLine="0"/>
        <w:jc w:val="center"/>
      </w:pPr>
      <w:r>
        <w:rPr>
          <w:rFonts w:ascii="Times New Roman" w:hAnsi="Times New Roman"/>
          <w:sz w:val="20"/>
        </w:rPr>
        <w:t>Tmsg,x = TRA + Kx[8(H + Lx)/R].   (2)</w:t>
      </w:r>
    </w:p>
    <w:p>
      <w:pPr>
        <w:spacing w:before="0" w:after="0"/>
        <w:ind w:firstLine="200"/>
      </w:pPr>
      <w:r>
        <w:rPr>
          <w:rFonts w:ascii="Times New Roman" w:hAnsi="Times New Roman"/>
          <w:i w:val="0"/>
          <w:sz w:val="20"/>
        </w:rPr>
        <w:t>Semantic communication does not normally increase R; its resource gain comes from fewer reports and fewer bytes per admitted report. The task-oriented throughput efficiency is the number of correct, timely application outcomes per occupied radio resource,</w:t>
      </w:r>
    </w:p>
    <w:p>
      <w:pPr>
        <w:spacing w:before="80" w:after="80"/>
        <w:ind w:firstLine="0"/>
        <w:jc w:val="center"/>
      </w:pPr>
      <w:r>
        <w:rPr>
          <w:rFonts w:ascii="Times New Roman" w:hAnsi="Times New Roman"/>
          <w:sz w:val="20"/>
        </w:rPr>
        <w:t>ηTO,x = Cx/[W Σ Tmsg,x].   (3)</w:t>
      </w:r>
    </w:p>
    <w:p>
      <w:pPr>
        <w:spacing w:before="0" w:after="0"/>
        <w:ind w:firstLine="200"/>
      </w:pPr>
      <w:r>
        <w:rPr>
          <w:rFonts w:ascii="Times New Roman" w:hAnsi="Times New Roman"/>
          <w:i w:val="0"/>
          <w:sz w:val="20"/>
        </w:rPr>
        <w:t>where Cx counts only outcomes meeting the accuracy, missed-event, reliability, confidence, and deadline constraints, and W is the occupied bandwidth. The first-order supported device population per beam is</w:t>
      </w:r>
    </w:p>
    <w:p>
      <w:pPr>
        <w:spacing w:before="80" w:after="80"/>
        <w:ind w:firstLine="0"/>
        <w:jc w:val="center"/>
      </w:pPr>
      <w:r>
        <w:rPr>
          <w:rFonts w:ascii="Times New Roman" w:hAnsi="Times New Roman"/>
          <w:sz w:val="20"/>
        </w:rPr>
        <w:t>Mmax,x ≤ ρTobs/(λxTmsg,x).   (4)</w:t>
      </w:r>
    </w:p>
    <w:p>
      <w:pPr>
        <w:spacing w:before="0" w:after="0"/>
        <w:ind w:firstLine="200"/>
      </w:pPr>
      <w:r>
        <w:rPr>
          <w:rFonts w:ascii="Times New Roman" w:hAnsi="Times New Roman"/>
          <w:i w:val="0"/>
          <w:sz w:val="20"/>
        </w:rPr>
        <w:t>with per-device report rate λx, usable beam-airtime fraction ρ, and observation interval Tobs. This is an effective task-capacity relation, not Shannon capacity. Total device energy over the interval is</w:t>
      </w:r>
    </w:p>
    <w:p>
      <w:pPr>
        <w:spacing w:before="80" w:after="80"/>
        <w:ind w:firstLine="0"/>
        <w:jc w:val="center"/>
      </w:pPr>
      <w:r>
        <w:rPr>
          <w:rFonts w:ascii="Times New Roman" w:hAnsi="Times New Roman"/>
          <w:sz w:val="20"/>
        </w:rPr>
        <w:t>Ex = Esense + EAI,x + Eaccess,x + Etx,x + Eretx,x + Eidle.   (5)</w:t>
      </w:r>
    </w:p>
    <w:p>
      <w:pPr>
        <w:spacing w:before="0" w:after="0"/>
        <w:ind w:firstLine="200"/>
      </w:pPr>
      <w:r>
        <w:rPr>
          <w:rFonts w:ascii="Times New Roman" w:hAnsi="Times New Roman"/>
          <w:i w:val="0"/>
          <w:sz w:val="20"/>
        </w:rPr>
        <w:t>Access energy Eaccess,x is a first-class term: measured non-terrestrial attach costs about 1.85 mAh [19], comparable to the energy of hundreds of payload bytes. The net saving is SE = 1 − Esem/Eraw; device-side intelligence is beneficial only when avoided access, transmission, and retransmission energy exceeds added inference energy. A scheme is feasible only when</w:t>
      </w:r>
    </w:p>
    <w:p>
      <w:pPr>
        <w:spacing w:before="80" w:after="80"/>
        <w:ind w:firstLine="0"/>
        <w:jc w:val="center"/>
      </w:pPr>
      <w:r>
        <w:rPr>
          <w:rFonts w:ascii="Times New Roman" w:hAnsi="Times New Roman"/>
          <w:sz w:val="20"/>
        </w:rPr>
        <w:t>maximize ηTO,x  s.t. E[lossx] ≤ ε, Pmiss,x ≤ δmiss, Pr(dx ≤ D) ≥ 1 − δD.   (6)</w:t>
      </w:r>
    </w:p>
    <w:p>
      <w:pPr>
        <w:pStyle w:val="Heading2"/>
      </w:pPr>
      <w:r>
        <w:t>C. Gain Decomposition</w:t>
      </w:r>
    </w:p>
    <w:p>
      <w:pPr>
        <w:spacing w:before="0" w:after="0"/>
        <w:ind w:firstLine="200"/>
      </w:pPr>
      <w:r>
        <w:rPr>
          <w:rFonts w:ascii="Times New Roman" w:hAnsi="Times New Roman"/>
          <w:i w:val="0"/>
          <w:sz w:val="20"/>
        </w:rPr>
        <w:t>The semantic report fraction q = Nsem/Nraw = λsem/λraw (7) is the fraction of conventional reports still crossing the NTN link. The offered-byte gain</w:t>
      </w:r>
    </w:p>
    <w:p>
      <w:pPr>
        <w:spacing w:before="80" w:after="80"/>
        <w:ind w:firstLine="0"/>
        <w:jc w:val="center"/>
      </w:pPr>
      <w:r>
        <w:rPr>
          <w:rFonts w:ascii="Times New Roman" w:hAnsi="Times New Roman"/>
          <w:sz w:val="20"/>
        </w:rPr>
        <w:t>GB = Braw/Bsem = (H + Lraw)/[q(H + Lsem)]   (8)</w:t>
      </w:r>
    </w:p>
    <w:p>
      <w:pPr>
        <w:spacing w:before="0" w:after="0"/>
        <w:ind w:firstLine="200"/>
      </w:pPr>
      <w:r>
        <w:rPr>
          <w:rFonts w:ascii="Times New Roman" w:hAnsi="Times New Roman"/>
          <w:i w:val="0"/>
          <w:sz w:val="20"/>
        </w:rPr>
        <w:t>decomposes as GB = (1/q) × [(H + Lraw)/(H + Lsem)]: report-suppression gain times per-report payload gain. The airtime gain</w:t>
      </w:r>
    </w:p>
    <w:p>
      <w:pPr>
        <w:spacing w:before="80" w:after="80"/>
        <w:ind w:firstLine="0"/>
        <w:jc w:val="center"/>
      </w:pPr>
      <w:r>
        <w:rPr>
          <w:rFonts w:ascii="Times New Roman" w:hAnsi="Times New Roman"/>
          <w:sz w:val="20"/>
        </w:rPr>
        <w:t>Gair = Traw,total/Tsem,total = Tmsg,raw/[qTmsg,sem] ≈ Msem/Mraw   (9)</w:t>
      </w:r>
    </w:p>
    <w:p>
      <w:pPr>
        <w:spacing w:before="0" w:after="0"/>
        <w:ind w:firstLine="200"/>
      </w:pPr>
      <w:r>
        <w:rPr>
          <w:rFonts w:ascii="Times New Roman" w:hAnsi="Times New Roman"/>
          <w:i w:val="0"/>
          <w:sz w:val="20"/>
        </w:rPr>
        <w:t>is smaller whenever fixed access time, repetitions, or collisions matter. The task-throughput-efficiency gain</w:t>
      </w:r>
    </w:p>
    <w:p>
      <w:pPr>
        <w:spacing w:before="80" w:after="80"/>
        <w:ind w:firstLine="0"/>
        <w:jc w:val="center"/>
      </w:pPr>
      <w:r>
        <w:rPr>
          <w:rFonts w:ascii="Times New Roman" w:hAnsi="Times New Roman"/>
          <w:sz w:val="20"/>
        </w:rPr>
        <w:t>GTO = ηTO,sem/ηTO,raw = (Csem/Craw)Gair   (10)</w:t>
      </w:r>
    </w:p>
    <w:p>
      <w:pPr>
        <w:spacing w:before="0" w:after="0"/>
        <w:ind w:firstLine="200"/>
      </w:pPr>
      <w:r>
        <w:rPr>
          <w:rFonts w:ascii="Times New Roman" w:hAnsi="Times New Roman"/>
          <w:i w:val="0"/>
          <w:sz w:val="20"/>
        </w:rPr>
        <w:t>is valid only when the semantic scheme preserves correct, timely outcomes. As a teaching example only, Lraw = 200 B, Lsem = 20 B, H = 60 B, q = 0.1 gives</w:t>
      </w:r>
    </w:p>
    <w:p>
      <w:pPr>
        <w:spacing w:before="80" w:after="80"/>
        <w:ind w:firstLine="0"/>
        <w:jc w:val="center"/>
      </w:pPr>
      <w:r>
        <w:rPr>
          <w:rFonts w:ascii="Times New Roman" w:hAnsi="Times New Roman"/>
          <w:sz w:val="20"/>
        </w:rPr>
        <w:t>GB,illustrative = 260/8 = 32.5.   (11)</w:t>
      </w:r>
    </w:p>
    <w:p>
      <w:pPr>
        <w:spacing w:before="0" w:after="0"/>
        <w:ind w:firstLine="200"/>
      </w:pPr>
      <w:r>
        <w:rPr>
          <w:rFonts w:ascii="Times New Roman" w:hAnsi="Times New Roman"/>
          <w:i w:val="0"/>
          <w:sz w:val="20"/>
        </w:rPr>
        <w:t>a 10× suppression gain times a 3.25× size gain. This ratio is a teaching example, not a finding; measured results are reported in Section V with the attributions of Section II.</w:t>
      </w:r>
    </w:p>
    <w:p>
      <w:pPr>
        <w:pStyle w:val="Heading2"/>
      </w:pPr>
      <w:r>
        <w:t>D. Controlled Adaptation, Trust, and Interfaces</w:t>
      </w:r>
    </w:p>
    <w:p>
      <w:pPr>
        <w:spacing w:before="0" w:after="0"/>
        <w:ind w:firstLine="200"/>
      </w:pPr>
      <w:r>
        <w:rPr>
          <w:rFonts w:ascii="Times New Roman" w:hAnsi="Times New Roman"/>
          <w:i w:val="0"/>
          <w:sz w:val="20"/>
        </w:rPr>
        <w:t>Adaptation runs on two time scales under the name controlled adaptation. Fast operation executes the deployed, validated model and policies for inference, admission, and scheduling without modifying weights. Slow operation adapts thresholds and policies—and, when evidence warrants, retrains models—over hours to weeks; only validated updates return to the fast loop. Audit records retain source time, model version, threshold, confidence, selected mode, access attempts, and receiver outcome, supporting rollback.</w:t>
      </w:r>
    </w:p>
    <w:p>
      <w:pPr>
        <w:spacing w:before="0" w:after="0"/>
        <w:ind w:firstLine="200"/>
      </w:pPr>
      <w:r>
        <w:rPr>
          <w:rFonts w:ascii="Times New Roman" w:hAnsi="Times New Roman"/>
          <w:i w:val="0"/>
          <w:sz w:val="20"/>
        </w:rPr>
        <w:t>A semantic decision can be wrong even when its bits arrive correctly. Confidence values must therefore be calibration-validated on the deployment distribution; uncalibrated confidence is treated as a fault input that triggers conservative fallback. Model identifiers and validity intervals provide knowledge consistency and trigger raw or feature-level fallback on mismatch. Because forged urgency or confidence could exhaust shared beam resources, semantic metadata requires integrity and replay protection. Confidentiality of raw data does not guarantee semantic privacy: a transmitted irrigation decision or flood label can itself be the sensitive asset.</w:t>
      </w:r>
    </w:p>
    <w:p>
      <w:pPr>
        <w:pStyle w:val="Heading1"/>
      </w:pPr>
      <w:r>
        <w:t>IV. EVALUATION DESIGN</w:t>
      </w:r>
    </w:p>
    <w:p>
      <w:pPr>
        <w:pStyle w:val="Heading2"/>
      </w:pPr>
      <w:r>
        <w:t>A. Applications</w:t>
      </w:r>
    </w:p>
    <w:p>
      <w:pPr>
        <w:spacing w:before="0" w:after="0"/>
        <w:ind w:firstLine="200"/>
      </w:pPr>
      <w:r>
        <w:rPr>
          <w:rFonts w:ascii="Times New Roman" w:hAnsi="Times New Roman"/>
          <w:i w:val="0"/>
          <w:sz w:val="20"/>
        </w:rPr>
        <w:t>Two India-oriented applications are evaluated. (i) Smart agriculture: irrigation decisions from soil-moisture, rainfall, humidity, and temperature traces generated by a water-balance model with calibrated noise, stratified into dry, normal-rainfall, irrigation, heavy-rain, and monsoon regimes. The task rule—a soil-moisture deficit threshold with two-sample persistence, hysteresis, and causal moving-average smoothing—issues irrigate/defer decisions; quality is measured by recall, missed-stress events, false alarms per week, and detection delay. (ii) Environmental monitoring: flood warnings from rainfall-intensity and river-level traces generated by a leaky-integrator model with calibrated noise, including geographically correlated monsoon bursts; quality is measured by warning recall, missed-event probability, false alarms per week, and detection delay against a 45-minute deadline. Traces are synthetic; the India lens enters through regime stratification and application parameters, not through claimed sensor datasets.</w:t>
      </w:r>
    </w:p>
    <w:p>
      <w:pPr>
        <w:spacing w:before="0" w:after="0"/>
        <w:ind w:firstLine="200"/>
      </w:pPr>
      <w:r>
        <w:rPr>
          <w:rFonts w:ascii="Times New Roman" w:hAnsi="Times New Roman"/>
          <w:i w:val="0"/>
          <w:sz w:val="20"/>
        </w:rPr>
        <w:t>Device and receiver use the identical decision rule, so the measured semantic gain comes from where and when data are sent, not from a smarter receiver model. Thresholds are tuned on seeds 101–105 and evaluated on held-out seeds 201–205.</w:t>
      </w:r>
    </w:p>
    <w:p>
      <w:pPr>
        <w:pStyle w:val="Heading2"/>
      </w:pPr>
      <w:r>
        <w:t>B. Baselines</w:t>
      </w:r>
    </w:p>
    <w:p>
      <w:pPr>
        <w:spacing w:before="0" w:after="0"/>
        <w:ind w:firstLine="200"/>
      </w:pPr>
      <w:r>
        <w:rPr>
          <w:rFonts w:ascii="Times New Roman" w:hAnsi="Times New Roman"/>
          <w:i w:val="0"/>
          <w:sz w:val="20"/>
        </w:rPr>
        <w:t>Four modes share the same trace, channel realization, bandwidth, terminal power, access procedure, repetitions, visibility, and deadline: raw periodic (96 reports/day, 260 B), compressed periodic (2:1), deterministic event-triggered, and semantic/task-oriented (admitted reports of 80 B, six-hourly heartbeats, and one daily raw audit sample). Compression and event triggering are mandatory ablations: any residual gain is attributable to the semantic/task-oriented mechanism rather than to ordinary compression or report suppression [26].</w:t>
      </w:r>
    </w:p>
    <w:p>
      <w:pPr>
        <w:pStyle w:val="Heading2"/>
      </w:pPr>
      <w:r>
        <w:t>C. NTN Scenario</w:t>
      </w:r>
    </w:p>
    <w:p>
      <w:pPr>
        <w:spacing w:before="0" w:after="0"/>
        <w:ind w:firstLine="200"/>
      </w:pPr>
      <w:r>
        <w:rPr>
          <w:rFonts w:ascii="Times New Roman" w:hAnsi="Times New Roman"/>
          <w:i w:val="0"/>
          <w:sz w:val="20"/>
        </w:rPr>
        <w:t>The configured sparse low-Earth-orbit scenario uses a 600 km orbit, 48 passes per day of 900 s (beam-airtime fraction ρ = 0.5), 180 kHz carrier, 16 kbps, a 2 s random-access slot, at most 3 attempts per pass with retries across passes, slotted-ALOHA access with geometric retries, blind repetitions (hybrid repeat-request disabled per [1]), and store-and-forward across discontinuous contact windows. This is a single plausible scenario, not a multi-constellation sweep.</w:t>
      </w:r>
    </w:p>
    <w:p>
      <w:pPr>
        <w:pStyle w:val="Heading2"/>
      </w:pPr>
      <w:r>
        <w:t>D. Reproducibility</w:t>
      </w:r>
    </w:p>
    <w:p>
      <w:pPr>
        <w:spacing w:before="0" w:after="0"/>
        <w:ind w:firstLine="200"/>
      </w:pPr>
      <w:r>
        <w:rPr>
          <w:rFonts w:ascii="Times New Roman" w:hAnsi="Times New Roman"/>
          <w:i w:val="0"/>
          <w:sz w:val="20"/>
        </w:rPr>
        <w:t>The simulation is a deterministic Python package (run_all.py, about 2.5 min) with fixed seeds, YAML configurations, a requirements file, result CSVs, and figure scripts in ~/workspace/ntn-eval. Energy figures are modeled NB-IoT-class values (sensing 2 mJ, inference 0.1–1 mJ, access 250 mJ/attempt, transmission 0.5 µJ/bit, idle 15 µW)—presented as sensitivity ranges, not hardware claims.</w:t>
      </w:r>
    </w:p>
    <w:p>
      <w:pPr>
        <w:pStyle w:val="Heading1"/>
      </w:pPr>
      <w:r>
        <w:t>V. MEASURED RESULTS</w:t>
      </w:r>
    </w:p>
    <w:p>
      <w:pPr>
        <w:spacing w:before="0" w:after="80"/>
        <w:ind w:firstLine="200"/>
      </w:pPr>
      <w:r>
        <w:rPr>
          <w:rFonts w:ascii="Times New Roman" w:hAnsi="Times New Roman"/>
          <w:i w:val="0"/>
          <w:sz w:val="20"/>
        </w:rPr>
        <w:t>All numbers below are measured from the simulation (mean ± standard deviation over the five held-out seeds 201–205), not assumed.</w:t>
      </w:r>
    </w:p>
    <w:p>
      <w:pPr>
        <w:pStyle w:val="Heading2"/>
      </w:pPr>
      <w:r>
        <w:t>A. Stage 1: Offered Load and Suppression</w:t>
      </w:r>
    </w:p>
    <w:p>
      <w:pPr>
        <w:spacing w:before="0" w:after="0"/>
        <w:ind w:firstLine="200"/>
      </w:pPr>
      <w:r>
        <w:rPr>
          <w:rFonts w:ascii="Times New Roman" w:hAnsi="Times New Roman"/>
          <w:i w:val="0"/>
          <w:sz w:val="20"/>
        </w:rPr>
        <w:t>Table I reports deterministic byte and report accounting. For irrigation, semantic reporting admits q = 0.053 of raw reports (5.1 versus 96.0 per day), giving GB = 42.6 ± 0.1 and Gair = 19.6 ± 0.1. The decomposition of (8) attributes 18.9× to report suppression and only 2.25× to payload shrinkage (260 B to 80 B): suppression dominates, as the measurement-anchored model predicts. The fixed 60 B header caps the airtime gain below the byte gain (19.6 &lt; 42.6); sweeping H = 20/60/120 B moves GB through 55.2/42.6/34.5. Flood-warning results are nearly identical (GB = 42.3 ± 0.2, Gair = 19.4 ± 0.2). Event-triggered reporting already captures most of the admission gain for flood warnings (q = 0.047, GB = 22.1 ± 5.2) but transmits full raw payloads on each trigger; for irrigation it fires far more often (q = 0.365) because the trigger rule lacks the semantic rule's smoothing and hysteresis. Figure 2 shows the decomposition.</w:t>
      </w:r>
    </w:p>
    <w:p>
      <w:pPr>
        <w:sectPr>
          <w:type w:val="continuous"/>
          <w:pgSz w:w="12240" w:h="15840"/>
          <w:pgMar w:top="1417" w:right="1134" w:bottom="1417" w:left="1134" w:header="680" w:footer="680" w:gutter="0"/>
          <w:cols w:space="340" w:num="2"/>
          <w:docGrid w:linePitch="360"/>
        </w:sectPr>
      </w:pPr>
    </w:p>
    <w:p>
      <w:pPr>
        <w:spacing w:before="120" w:after="80"/>
        <w:ind w:firstLine="0"/>
        <w:jc w:val="center"/>
      </w:pPr>
      <w:r>
        <w:rPr>
          <w:rFonts w:ascii="Times New Roman" w:hAnsi="Times New Roman"/>
          <w:sz w:val="16"/>
        </w:rPr>
        <w:t>TABLE I. STAGE-1 OFFERED LOAD AND SUPPRESSION (MEAN ± SD OVER 5 SEEDS)</w:t>
      </w:r>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pPr>
              <w:spacing w:after="20"/>
              <w:ind w:firstLine="0"/>
              <w:jc w:val="center"/>
            </w:pPr>
            <w:r/>
            <w:r>
              <w:rPr>
                <w:rFonts w:ascii="Times New Roman" w:hAnsi="Times New Roman"/>
                <w:b/>
                <w:sz w:val="16"/>
              </w:rPr>
              <w:t>App</w:t>
            </w:r>
          </w:p>
        </w:tc>
        <w:tc>
          <w:tcPr>
            <w:tcW w:type="dxa" w:w="1425"/>
          </w:tcPr>
          <w:p>
            <w:pPr>
              <w:spacing w:after="20"/>
              <w:ind w:firstLine="0"/>
              <w:jc w:val="center"/>
            </w:pPr>
            <w:r/>
            <w:r>
              <w:rPr>
                <w:rFonts w:ascii="Times New Roman" w:hAnsi="Times New Roman"/>
                <w:b/>
                <w:sz w:val="16"/>
              </w:rPr>
              <w:t>Mode</w:t>
            </w:r>
          </w:p>
        </w:tc>
        <w:tc>
          <w:tcPr>
            <w:tcW w:type="dxa" w:w="1425"/>
          </w:tcPr>
          <w:p>
            <w:pPr>
              <w:spacing w:after="20"/>
              <w:ind w:firstLine="0"/>
              <w:jc w:val="center"/>
            </w:pPr>
            <w:r/>
            <w:r>
              <w:rPr>
                <w:rFonts w:ascii="Times New Roman" w:hAnsi="Times New Roman"/>
                <w:b/>
                <w:sz w:val="16"/>
              </w:rPr>
              <w:t>Rep./day</w:t>
            </w:r>
          </w:p>
        </w:tc>
        <w:tc>
          <w:tcPr>
            <w:tcW w:type="dxa" w:w="1425"/>
          </w:tcPr>
          <w:p>
            <w:pPr>
              <w:spacing w:after="20"/>
              <w:ind w:firstLine="0"/>
              <w:jc w:val="center"/>
            </w:pPr>
            <w:r/>
            <w:r>
              <w:rPr>
                <w:rFonts w:ascii="Times New Roman" w:hAnsi="Times New Roman"/>
                <w:b/>
                <w:sz w:val="16"/>
              </w:rPr>
              <w:t>kB/day</w:t>
            </w:r>
          </w:p>
        </w:tc>
        <w:tc>
          <w:tcPr>
            <w:tcW w:type="dxa" w:w="1425"/>
          </w:tcPr>
          <w:p>
            <w:pPr>
              <w:spacing w:after="20"/>
              <w:ind w:firstLine="0"/>
              <w:jc w:val="center"/>
            </w:pPr>
            <w:r/>
            <w:r>
              <w:rPr>
                <w:rFonts w:ascii="Times New Roman" w:hAnsi="Times New Roman"/>
                <w:b/>
                <w:sz w:val="16"/>
              </w:rPr>
              <w:t>q</w:t>
            </w:r>
          </w:p>
        </w:tc>
        <w:tc>
          <w:tcPr>
            <w:tcW w:type="dxa" w:w="1425"/>
          </w:tcPr>
          <w:p>
            <w:pPr>
              <w:spacing w:after="20"/>
              <w:ind w:firstLine="0"/>
              <w:jc w:val="center"/>
            </w:pPr>
            <w:r/>
            <w:r>
              <w:rPr>
                <w:rFonts w:ascii="Times New Roman" w:hAnsi="Times New Roman"/>
                <w:b/>
                <w:sz w:val="16"/>
              </w:rPr>
              <w:t>GB</w:t>
            </w:r>
          </w:p>
        </w:tc>
        <w:tc>
          <w:tcPr>
            <w:tcW w:type="dxa" w:w="1425"/>
          </w:tcPr>
          <w:p>
            <w:pPr>
              <w:spacing w:after="20"/>
              <w:ind w:firstLine="0"/>
              <w:jc w:val="center"/>
            </w:pPr>
            <w:r/>
            <w:r>
              <w:rPr>
                <w:rFonts w:ascii="Times New Roman" w:hAnsi="Times New Roman"/>
                <w:b/>
                <w:sz w:val="16"/>
              </w:rPr>
              <w:t>Gair</w:t>
            </w:r>
          </w:p>
        </w:tc>
      </w:tr>
      <w:tr>
        <w:tc>
          <w:tcPr>
            <w:tcW w:type="dxa" w:w="1425"/>
          </w:tcPr>
          <w:p>
            <w:pPr>
              <w:spacing w:after="20"/>
              <w:ind w:firstLine="0"/>
              <w:jc w:val="center"/>
            </w:pPr>
            <w:r/>
            <w:r>
              <w:rPr>
                <w:rFonts w:ascii="Times New Roman" w:hAnsi="Times New Roman"/>
                <w:sz w:val="16"/>
              </w:rPr>
              <w:t>Agri</w:t>
            </w:r>
          </w:p>
        </w:tc>
        <w:tc>
          <w:tcPr>
            <w:tcW w:type="dxa" w:w="1425"/>
          </w:tcPr>
          <w:p>
            <w:pPr>
              <w:spacing w:after="20"/>
              <w:ind w:firstLine="0"/>
              <w:jc w:val="center"/>
            </w:pPr>
            <w:r/>
            <w:r>
              <w:rPr>
                <w:rFonts w:ascii="Times New Roman" w:hAnsi="Times New Roman"/>
                <w:sz w:val="16"/>
              </w:rPr>
              <w:t>raw</w:t>
            </w:r>
          </w:p>
        </w:tc>
        <w:tc>
          <w:tcPr>
            <w:tcW w:type="dxa" w:w="1425"/>
          </w:tcPr>
          <w:p>
            <w:pPr>
              <w:spacing w:after="20"/>
              <w:ind w:firstLine="0"/>
              <w:jc w:val="center"/>
            </w:pPr>
            <w:r/>
            <w:r>
              <w:rPr>
                <w:rFonts w:ascii="Times New Roman" w:hAnsi="Times New Roman"/>
                <w:sz w:val="16"/>
              </w:rPr>
              <w:t>96.0</w:t>
            </w:r>
          </w:p>
        </w:tc>
        <w:tc>
          <w:tcPr>
            <w:tcW w:type="dxa" w:w="1425"/>
          </w:tcPr>
          <w:p>
            <w:pPr>
              <w:spacing w:after="20"/>
              <w:ind w:firstLine="0"/>
              <w:jc w:val="center"/>
            </w:pPr>
            <w:r/>
            <w:r>
              <w:rPr>
                <w:rFonts w:ascii="Times New Roman" w:hAnsi="Times New Roman"/>
                <w:sz w:val="16"/>
              </w:rPr>
              <w:t>24.96</w:t>
            </w:r>
          </w:p>
        </w:tc>
        <w:tc>
          <w:tcPr>
            <w:tcW w:type="dxa" w:w="1425"/>
          </w:tcPr>
          <w:p>
            <w:pPr>
              <w:spacing w:after="20"/>
              <w:ind w:firstLine="0"/>
              <w:jc w:val="center"/>
            </w:pPr>
            <w:r/>
            <w:r>
              <w:rPr>
                <w:rFonts w:ascii="Times New Roman" w:hAnsi="Times New Roman"/>
                <w:sz w:val="16"/>
              </w:rPr>
              <w:t>1.000</w:t>
            </w:r>
          </w:p>
        </w:tc>
        <w:tc>
          <w:tcPr>
            <w:tcW w:type="dxa" w:w="1425"/>
          </w:tcPr>
          <w:p>
            <w:pPr>
              <w:spacing w:after="20"/>
              <w:ind w:firstLine="0"/>
              <w:jc w:val="center"/>
            </w:pPr>
            <w:r/>
            <w:r>
              <w:rPr>
                <w:rFonts w:ascii="Times New Roman" w:hAnsi="Times New Roman"/>
                <w:sz w:val="16"/>
              </w:rPr>
              <w:t>1.0</w:t>
            </w:r>
          </w:p>
        </w:tc>
        <w:tc>
          <w:tcPr>
            <w:tcW w:type="dxa" w:w="1425"/>
          </w:tcPr>
          <w:p>
            <w:pPr>
              <w:spacing w:after="20"/>
              <w:ind w:firstLine="0"/>
              <w:jc w:val="center"/>
            </w:pPr>
            <w:r/>
            <w:r>
              <w:rPr>
                <w:rFonts w:ascii="Times New Roman" w:hAnsi="Times New Roman"/>
                <w:sz w:val="16"/>
              </w:rPr>
              <w:t>1.0</w:t>
            </w:r>
          </w:p>
        </w:tc>
      </w:tr>
      <w:tr>
        <w:tc>
          <w:tcPr>
            <w:tcW w:type="dxa" w:w="1425"/>
          </w:tcPr>
          <w:p>
            <w:pPr>
              <w:spacing w:after="20"/>
              <w:ind w:firstLine="0"/>
              <w:jc w:val="center"/>
            </w:pPr>
            <w:r/>
            <w:r>
              <w:rPr>
                <w:rFonts w:ascii="Times New Roman" w:hAnsi="Times New Roman"/>
                <w:sz w:val="16"/>
              </w:rPr>
              <w:t>Agri</w:t>
            </w:r>
          </w:p>
        </w:tc>
        <w:tc>
          <w:tcPr>
            <w:tcW w:type="dxa" w:w="1425"/>
          </w:tcPr>
          <w:p>
            <w:pPr>
              <w:spacing w:after="20"/>
              <w:ind w:firstLine="0"/>
              <w:jc w:val="center"/>
            </w:pPr>
            <w:r/>
            <w:r>
              <w:rPr>
                <w:rFonts w:ascii="Times New Roman" w:hAnsi="Times New Roman"/>
                <w:sz w:val="16"/>
              </w:rPr>
              <w:t>compr. 2:1</w:t>
            </w:r>
          </w:p>
        </w:tc>
        <w:tc>
          <w:tcPr>
            <w:tcW w:type="dxa" w:w="1425"/>
          </w:tcPr>
          <w:p>
            <w:pPr>
              <w:spacing w:after="20"/>
              <w:ind w:firstLine="0"/>
              <w:jc w:val="center"/>
            </w:pPr>
            <w:r/>
            <w:r>
              <w:rPr>
                <w:rFonts w:ascii="Times New Roman" w:hAnsi="Times New Roman"/>
                <w:sz w:val="16"/>
              </w:rPr>
              <w:t>96.0</w:t>
            </w:r>
          </w:p>
        </w:tc>
        <w:tc>
          <w:tcPr>
            <w:tcW w:type="dxa" w:w="1425"/>
          </w:tcPr>
          <w:p>
            <w:pPr>
              <w:spacing w:after="20"/>
              <w:ind w:firstLine="0"/>
              <w:jc w:val="center"/>
            </w:pPr>
            <w:r/>
            <w:r>
              <w:rPr>
                <w:rFonts w:ascii="Times New Roman" w:hAnsi="Times New Roman"/>
                <w:sz w:val="16"/>
              </w:rPr>
              <w:t>15.36</w:t>
            </w:r>
          </w:p>
        </w:tc>
        <w:tc>
          <w:tcPr>
            <w:tcW w:type="dxa" w:w="1425"/>
          </w:tcPr>
          <w:p>
            <w:pPr>
              <w:spacing w:after="20"/>
              <w:ind w:firstLine="0"/>
              <w:jc w:val="center"/>
            </w:pPr>
            <w:r/>
            <w:r>
              <w:rPr>
                <w:rFonts w:ascii="Times New Roman" w:hAnsi="Times New Roman"/>
                <w:sz w:val="16"/>
              </w:rPr>
              <w:t>1.000</w:t>
            </w:r>
          </w:p>
        </w:tc>
        <w:tc>
          <w:tcPr>
            <w:tcW w:type="dxa" w:w="1425"/>
          </w:tcPr>
          <w:p>
            <w:pPr>
              <w:spacing w:after="20"/>
              <w:ind w:firstLine="0"/>
              <w:jc w:val="center"/>
            </w:pPr>
            <w:r/>
            <w:r>
              <w:rPr>
                <w:rFonts w:ascii="Times New Roman" w:hAnsi="Times New Roman"/>
                <w:sz w:val="16"/>
              </w:rPr>
              <w:t>1.6</w:t>
            </w:r>
          </w:p>
        </w:tc>
        <w:tc>
          <w:tcPr>
            <w:tcW w:type="dxa" w:w="1425"/>
          </w:tcPr>
          <w:p>
            <w:pPr>
              <w:spacing w:after="20"/>
              <w:ind w:firstLine="0"/>
              <w:jc w:val="center"/>
            </w:pPr>
            <w:r/>
            <w:r>
              <w:rPr>
                <w:rFonts w:ascii="Times New Roman" w:hAnsi="Times New Roman"/>
                <w:sz w:val="16"/>
              </w:rPr>
              <w:t>1.0</w:t>
            </w:r>
          </w:p>
        </w:tc>
      </w:tr>
      <w:tr>
        <w:tc>
          <w:tcPr>
            <w:tcW w:type="dxa" w:w="1425"/>
          </w:tcPr>
          <w:p>
            <w:pPr>
              <w:spacing w:after="20"/>
              <w:ind w:firstLine="0"/>
              <w:jc w:val="center"/>
            </w:pPr>
            <w:r/>
            <w:r>
              <w:rPr>
                <w:rFonts w:ascii="Times New Roman" w:hAnsi="Times New Roman"/>
                <w:sz w:val="16"/>
              </w:rPr>
              <w:t>Agri</w:t>
            </w:r>
          </w:p>
        </w:tc>
        <w:tc>
          <w:tcPr>
            <w:tcW w:type="dxa" w:w="1425"/>
          </w:tcPr>
          <w:p>
            <w:pPr>
              <w:spacing w:after="20"/>
              <w:ind w:firstLine="0"/>
              <w:jc w:val="center"/>
            </w:pPr>
            <w:r/>
            <w:r>
              <w:rPr>
                <w:rFonts w:ascii="Times New Roman" w:hAnsi="Times New Roman"/>
                <w:sz w:val="16"/>
              </w:rPr>
              <w:t>event-trig.</w:t>
            </w:r>
          </w:p>
        </w:tc>
        <w:tc>
          <w:tcPr>
            <w:tcW w:type="dxa" w:w="1425"/>
          </w:tcPr>
          <w:p>
            <w:pPr>
              <w:spacing w:after="20"/>
              <w:ind w:firstLine="0"/>
              <w:jc w:val="center"/>
            </w:pPr>
            <w:r/>
            <w:r>
              <w:rPr>
                <w:rFonts w:ascii="Times New Roman" w:hAnsi="Times New Roman"/>
                <w:sz w:val="16"/>
              </w:rPr>
              <w:t>35.1</w:t>
            </w:r>
          </w:p>
        </w:tc>
        <w:tc>
          <w:tcPr>
            <w:tcW w:type="dxa" w:w="1425"/>
          </w:tcPr>
          <w:p>
            <w:pPr>
              <w:spacing w:after="20"/>
              <w:ind w:firstLine="0"/>
              <w:jc w:val="center"/>
            </w:pPr>
            <w:r/>
            <w:r>
              <w:rPr>
                <w:rFonts w:ascii="Times New Roman" w:hAnsi="Times New Roman"/>
                <w:sz w:val="16"/>
              </w:rPr>
              <w:t>9.12</w:t>
            </w:r>
          </w:p>
        </w:tc>
        <w:tc>
          <w:tcPr>
            <w:tcW w:type="dxa" w:w="1425"/>
          </w:tcPr>
          <w:p>
            <w:pPr>
              <w:spacing w:after="20"/>
              <w:ind w:firstLine="0"/>
              <w:jc w:val="center"/>
            </w:pPr>
            <w:r/>
            <w:r>
              <w:rPr>
                <w:rFonts w:ascii="Times New Roman" w:hAnsi="Times New Roman"/>
                <w:sz w:val="16"/>
              </w:rPr>
              <w:t>0.365</w:t>
            </w:r>
          </w:p>
        </w:tc>
        <w:tc>
          <w:tcPr>
            <w:tcW w:type="dxa" w:w="1425"/>
          </w:tcPr>
          <w:p>
            <w:pPr>
              <w:spacing w:after="20"/>
              <w:ind w:firstLine="0"/>
              <w:jc w:val="center"/>
            </w:pPr>
            <w:r/>
            <w:r>
              <w:rPr>
                <w:rFonts w:ascii="Times New Roman" w:hAnsi="Times New Roman"/>
                <w:sz w:val="16"/>
              </w:rPr>
              <w:t>2.7 ± 0.1</w:t>
            </w:r>
          </w:p>
        </w:tc>
        <w:tc>
          <w:tcPr>
            <w:tcW w:type="dxa" w:w="1425"/>
          </w:tcPr>
          <w:p>
            <w:pPr>
              <w:spacing w:after="20"/>
              <w:ind w:firstLine="0"/>
              <w:jc w:val="center"/>
            </w:pPr>
            <w:r/>
            <w:r>
              <w:rPr>
                <w:rFonts w:ascii="Times New Roman" w:hAnsi="Times New Roman"/>
                <w:sz w:val="16"/>
              </w:rPr>
              <w:t>2.7 ± 0.1</w:t>
            </w:r>
          </w:p>
        </w:tc>
      </w:tr>
      <w:tr>
        <w:tc>
          <w:tcPr>
            <w:tcW w:type="dxa" w:w="1425"/>
          </w:tcPr>
          <w:p>
            <w:pPr>
              <w:spacing w:after="20"/>
              <w:ind w:firstLine="0"/>
              <w:jc w:val="center"/>
            </w:pPr>
            <w:r/>
            <w:r>
              <w:rPr>
                <w:rFonts w:ascii="Times New Roman" w:hAnsi="Times New Roman"/>
                <w:sz w:val="16"/>
              </w:rPr>
              <w:t>Agri</w:t>
            </w:r>
          </w:p>
        </w:tc>
        <w:tc>
          <w:tcPr>
            <w:tcW w:type="dxa" w:w="1425"/>
          </w:tcPr>
          <w:p>
            <w:pPr>
              <w:spacing w:after="20"/>
              <w:ind w:firstLine="0"/>
              <w:jc w:val="center"/>
            </w:pPr>
            <w:r/>
            <w:r>
              <w:rPr>
                <w:rFonts w:ascii="Times New Roman" w:hAnsi="Times New Roman"/>
                <w:sz w:val="16"/>
              </w:rPr>
              <w:t>semantic</w:t>
            </w:r>
          </w:p>
        </w:tc>
        <w:tc>
          <w:tcPr>
            <w:tcW w:type="dxa" w:w="1425"/>
          </w:tcPr>
          <w:p>
            <w:pPr>
              <w:spacing w:after="20"/>
              <w:ind w:firstLine="0"/>
              <w:jc w:val="center"/>
            </w:pPr>
            <w:r/>
            <w:r>
              <w:rPr>
                <w:rFonts w:ascii="Times New Roman" w:hAnsi="Times New Roman"/>
                <w:sz w:val="16"/>
              </w:rPr>
              <w:t>5.1</w:t>
            </w:r>
          </w:p>
        </w:tc>
        <w:tc>
          <w:tcPr>
            <w:tcW w:type="dxa" w:w="1425"/>
          </w:tcPr>
          <w:p>
            <w:pPr>
              <w:spacing w:after="20"/>
              <w:ind w:firstLine="0"/>
              <w:jc w:val="center"/>
            </w:pPr>
            <w:r/>
            <w:r>
              <w:rPr>
                <w:rFonts w:ascii="Times New Roman" w:hAnsi="Times New Roman"/>
                <w:sz w:val="16"/>
              </w:rPr>
              <w:t>0.59</w:t>
            </w:r>
          </w:p>
        </w:tc>
        <w:tc>
          <w:tcPr>
            <w:tcW w:type="dxa" w:w="1425"/>
          </w:tcPr>
          <w:p>
            <w:pPr>
              <w:spacing w:after="20"/>
              <w:ind w:firstLine="0"/>
              <w:jc w:val="center"/>
            </w:pPr>
            <w:r/>
            <w:r>
              <w:rPr>
                <w:rFonts w:ascii="Times New Roman" w:hAnsi="Times New Roman"/>
                <w:sz w:val="16"/>
              </w:rPr>
              <w:t>0.053</w:t>
            </w:r>
          </w:p>
        </w:tc>
        <w:tc>
          <w:tcPr>
            <w:tcW w:type="dxa" w:w="1425"/>
          </w:tcPr>
          <w:p>
            <w:pPr>
              <w:spacing w:after="20"/>
              <w:ind w:firstLine="0"/>
              <w:jc w:val="center"/>
            </w:pPr>
            <w:r/>
            <w:r>
              <w:rPr>
                <w:rFonts w:ascii="Times New Roman" w:hAnsi="Times New Roman"/>
                <w:sz w:val="16"/>
              </w:rPr>
              <w:t>42.6 ± 0.1</w:t>
            </w:r>
          </w:p>
        </w:tc>
        <w:tc>
          <w:tcPr>
            <w:tcW w:type="dxa" w:w="1425"/>
          </w:tcPr>
          <w:p>
            <w:pPr>
              <w:spacing w:after="20"/>
              <w:ind w:firstLine="0"/>
              <w:jc w:val="center"/>
            </w:pPr>
            <w:r/>
            <w:r>
              <w:rPr>
                <w:rFonts w:ascii="Times New Roman" w:hAnsi="Times New Roman"/>
                <w:sz w:val="16"/>
              </w:rPr>
              <w:t>19.6 ± 0.1</w:t>
            </w:r>
          </w:p>
        </w:tc>
      </w:tr>
      <w:tr>
        <w:tc>
          <w:tcPr>
            <w:tcW w:type="dxa" w:w="1425"/>
          </w:tcPr>
          <w:p>
            <w:pPr>
              <w:spacing w:after="20"/>
              <w:ind w:firstLine="0"/>
              <w:jc w:val="center"/>
            </w:pPr>
            <w:r/>
            <w:r>
              <w:rPr>
                <w:rFonts w:ascii="Times New Roman" w:hAnsi="Times New Roman"/>
                <w:sz w:val="16"/>
              </w:rPr>
              <w:t>Env</w:t>
            </w:r>
          </w:p>
        </w:tc>
        <w:tc>
          <w:tcPr>
            <w:tcW w:type="dxa" w:w="1425"/>
          </w:tcPr>
          <w:p>
            <w:pPr>
              <w:spacing w:after="20"/>
              <w:ind w:firstLine="0"/>
              <w:jc w:val="center"/>
            </w:pPr>
            <w:r/>
            <w:r>
              <w:rPr>
                <w:rFonts w:ascii="Times New Roman" w:hAnsi="Times New Roman"/>
                <w:sz w:val="16"/>
              </w:rPr>
              <w:t>raw</w:t>
            </w:r>
          </w:p>
        </w:tc>
        <w:tc>
          <w:tcPr>
            <w:tcW w:type="dxa" w:w="1425"/>
          </w:tcPr>
          <w:p>
            <w:pPr>
              <w:spacing w:after="20"/>
              <w:ind w:firstLine="0"/>
              <w:jc w:val="center"/>
            </w:pPr>
            <w:r/>
            <w:r>
              <w:rPr>
                <w:rFonts w:ascii="Times New Roman" w:hAnsi="Times New Roman"/>
                <w:sz w:val="16"/>
              </w:rPr>
              <w:t>96.0</w:t>
            </w:r>
          </w:p>
        </w:tc>
        <w:tc>
          <w:tcPr>
            <w:tcW w:type="dxa" w:w="1425"/>
          </w:tcPr>
          <w:p>
            <w:pPr>
              <w:spacing w:after="20"/>
              <w:ind w:firstLine="0"/>
              <w:jc w:val="center"/>
            </w:pPr>
            <w:r/>
            <w:r>
              <w:rPr>
                <w:rFonts w:ascii="Times New Roman" w:hAnsi="Times New Roman"/>
                <w:sz w:val="16"/>
              </w:rPr>
              <w:t>24.96</w:t>
            </w:r>
          </w:p>
        </w:tc>
        <w:tc>
          <w:tcPr>
            <w:tcW w:type="dxa" w:w="1425"/>
          </w:tcPr>
          <w:p>
            <w:pPr>
              <w:spacing w:after="20"/>
              <w:ind w:firstLine="0"/>
              <w:jc w:val="center"/>
            </w:pPr>
            <w:r/>
            <w:r>
              <w:rPr>
                <w:rFonts w:ascii="Times New Roman" w:hAnsi="Times New Roman"/>
                <w:sz w:val="16"/>
              </w:rPr>
              <w:t>1.000</w:t>
            </w:r>
          </w:p>
        </w:tc>
        <w:tc>
          <w:tcPr>
            <w:tcW w:type="dxa" w:w="1425"/>
          </w:tcPr>
          <w:p>
            <w:pPr>
              <w:spacing w:after="20"/>
              <w:ind w:firstLine="0"/>
              <w:jc w:val="center"/>
            </w:pPr>
            <w:r/>
            <w:r>
              <w:rPr>
                <w:rFonts w:ascii="Times New Roman" w:hAnsi="Times New Roman"/>
                <w:sz w:val="16"/>
              </w:rPr>
              <w:t>1.0</w:t>
            </w:r>
          </w:p>
        </w:tc>
        <w:tc>
          <w:tcPr>
            <w:tcW w:type="dxa" w:w="1425"/>
          </w:tcPr>
          <w:p>
            <w:pPr>
              <w:spacing w:after="20"/>
              <w:ind w:firstLine="0"/>
              <w:jc w:val="center"/>
            </w:pPr>
            <w:r/>
            <w:r>
              <w:rPr>
                <w:rFonts w:ascii="Times New Roman" w:hAnsi="Times New Roman"/>
                <w:sz w:val="16"/>
              </w:rPr>
              <w:t>1.0</w:t>
            </w:r>
          </w:p>
        </w:tc>
      </w:tr>
      <w:tr>
        <w:tc>
          <w:tcPr>
            <w:tcW w:type="dxa" w:w="1425"/>
          </w:tcPr>
          <w:p>
            <w:pPr>
              <w:spacing w:after="20"/>
              <w:ind w:firstLine="0"/>
              <w:jc w:val="center"/>
            </w:pPr>
            <w:r/>
            <w:r>
              <w:rPr>
                <w:rFonts w:ascii="Times New Roman" w:hAnsi="Times New Roman"/>
                <w:sz w:val="16"/>
              </w:rPr>
              <w:t>Env</w:t>
            </w:r>
          </w:p>
        </w:tc>
        <w:tc>
          <w:tcPr>
            <w:tcW w:type="dxa" w:w="1425"/>
          </w:tcPr>
          <w:p>
            <w:pPr>
              <w:spacing w:after="20"/>
              <w:ind w:firstLine="0"/>
              <w:jc w:val="center"/>
            </w:pPr>
            <w:r/>
            <w:r>
              <w:rPr>
                <w:rFonts w:ascii="Times New Roman" w:hAnsi="Times New Roman"/>
                <w:sz w:val="16"/>
              </w:rPr>
              <w:t>compr. 2:1</w:t>
            </w:r>
          </w:p>
        </w:tc>
        <w:tc>
          <w:tcPr>
            <w:tcW w:type="dxa" w:w="1425"/>
          </w:tcPr>
          <w:p>
            <w:pPr>
              <w:spacing w:after="20"/>
              <w:ind w:firstLine="0"/>
              <w:jc w:val="center"/>
            </w:pPr>
            <w:r/>
            <w:r>
              <w:rPr>
                <w:rFonts w:ascii="Times New Roman" w:hAnsi="Times New Roman"/>
                <w:sz w:val="16"/>
              </w:rPr>
              <w:t>96.0</w:t>
            </w:r>
          </w:p>
        </w:tc>
        <w:tc>
          <w:tcPr>
            <w:tcW w:type="dxa" w:w="1425"/>
          </w:tcPr>
          <w:p>
            <w:pPr>
              <w:spacing w:after="20"/>
              <w:ind w:firstLine="0"/>
              <w:jc w:val="center"/>
            </w:pPr>
            <w:r/>
            <w:r>
              <w:rPr>
                <w:rFonts w:ascii="Times New Roman" w:hAnsi="Times New Roman"/>
                <w:sz w:val="16"/>
              </w:rPr>
              <w:t>15.36</w:t>
            </w:r>
          </w:p>
        </w:tc>
        <w:tc>
          <w:tcPr>
            <w:tcW w:type="dxa" w:w="1425"/>
          </w:tcPr>
          <w:p>
            <w:pPr>
              <w:spacing w:after="20"/>
              <w:ind w:firstLine="0"/>
              <w:jc w:val="center"/>
            </w:pPr>
            <w:r/>
            <w:r>
              <w:rPr>
                <w:rFonts w:ascii="Times New Roman" w:hAnsi="Times New Roman"/>
                <w:sz w:val="16"/>
              </w:rPr>
              <w:t>1.000</w:t>
            </w:r>
          </w:p>
        </w:tc>
        <w:tc>
          <w:tcPr>
            <w:tcW w:type="dxa" w:w="1425"/>
          </w:tcPr>
          <w:p>
            <w:pPr>
              <w:spacing w:after="20"/>
              <w:ind w:firstLine="0"/>
              <w:jc w:val="center"/>
            </w:pPr>
            <w:r/>
            <w:r>
              <w:rPr>
                <w:rFonts w:ascii="Times New Roman" w:hAnsi="Times New Roman"/>
                <w:sz w:val="16"/>
              </w:rPr>
              <w:t>1.6</w:t>
            </w:r>
          </w:p>
        </w:tc>
        <w:tc>
          <w:tcPr>
            <w:tcW w:type="dxa" w:w="1425"/>
          </w:tcPr>
          <w:p>
            <w:pPr>
              <w:spacing w:after="20"/>
              <w:ind w:firstLine="0"/>
              <w:jc w:val="center"/>
            </w:pPr>
            <w:r/>
            <w:r>
              <w:rPr>
                <w:rFonts w:ascii="Times New Roman" w:hAnsi="Times New Roman"/>
                <w:sz w:val="16"/>
              </w:rPr>
              <w:t>1.0</w:t>
            </w:r>
          </w:p>
        </w:tc>
      </w:tr>
      <w:tr>
        <w:tc>
          <w:tcPr>
            <w:tcW w:type="dxa" w:w="1425"/>
          </w:tcPr>
          <w:p>
            <w:pPr>
              <w:spacing w:after="20"/>
              <w:ind w:firstLine="0"/>
              <w:jc w:val="center"/>
            </w:pPr>
            <w:r/>
            <w:r>
              <w:rPr>
                <w:rFonts w:ascii="Times New Roman" w:hAnsi="Times New Roman"/>
                <w:sz w:val="16"/>
              </w:rPr>
              <w:t>Env</w:t>
            </w:r>
          </w:p>
        </w:tc>
        <w:tc>
          <w:tcPr>
            <w:tcW w:type="dxa" w:w="1425"/>
          </w:tcPr>
          <w:p>
            <w:pPr>
              <w:spacing w:after="20"/>
              <w:ind w:firstLine="0"/>
              <w:jc w:val="center"/>
            </w:pPr>
            <w:r/>
            <w:r>
              <w:rPr>
                <w:rFonts w:ascii="Times New Roman" w:hAnsi="Times New Roman"/>
                <w:sz w:val="16"/>
              </w:rPr>
              <w:t>event-trig.</w:t>
            </w:r>
          </w:p>
        </w:tc>
        <w:tc>
          <w:tcPr>
            <w:tcW w:type="dxa" w:w="1425"/>
          </w:tcPr>
          <w:p>
            <w:pPr>
              <w:spacing w:after="20"/>
              <w:ind w:firstLine="0"/>
              <w:jc w:val="center"/>
            </w:pPr>
            <w:r/>
            <w:r>
              <w:rPr>
                <w:rFonts w:ascii="Times New Roman" w:hAnsi="Times New Roman"/>
                <w:sz w:val="16"/>
              </w:rPr>
              <w:t>4.5</w:t>
            </w:r>
          </w:p>
        </w:tc>
        <w:tc>
          <w:tcPr>
            <w:tcW w:type="dxa" w:w="1425"/>
          </w:tcPr>
          <w:p>
            <w:pPr>
              <w:spacing w:after="20"/>
              <w:ind w:firstLine="0"/>
              <w:jc w:val="center"/>
            </w:pPr>
            <w:r/>
            <w:r>
              <w:rPr>
                <w:rFonts w:ascii="Times New Roman" w:hAnsi="Times New Roman"/>
                <w:sz w:val="16"/>
              </w:rPr>
              <w:t>1.18</w:t>
            </w:r>
          </w:p>
        </w:tc>
        <w:tc>
          <w:tcPr>
            <w:tcW w:type="dxa" w:w="1425"/>
          </w:tcPr>
          <w:p>
            <w:pPr>
              <w:spacing w:after="20"/>
              <w:ind w:firstLine="0"/>
              <w:jc w:val="center"/>
            </w:pPr>
            <w:r/>
            <w:r>
              <w:rPr>
                <w:rFonts w:ascii="Times New Roman" w:hAnsi="Times New Roman"/>
                <w:sz w:val="16"/>
              </w:rPr>
              <w:t>0.047</w:t>
            </w:r>
          </w:p>
        </w:tc>
        <w:tc>
          <w:tcPr>
            <w:tcW w:type="dxa" w:w="1425"/>
          </w:tcPr>
          <w:p>
            <w:pPr>
              <w:spacing w:after="20"/>
              <w:ind w:firstLine="0"/>
              <w:jc w:val="center"/>
            </w:pPr>
            <w:r/>
            <w:r>
              <w:rPr>
                <w:rFonts w:ascii="Times New Roman" w:hAnsi="Times New Roman"/>
                <w:sz w:val="16"/>
              </w:rPr>
              <w:t>22.1 ± 5.2</w:t>
            </w:r>
          </w:p>
        </w:tc>
        <w:tc>
          <w:tcPr>
            <w:tcW w:type="dxa" w:w="1425"/>
          </w:tcPr>
          <w:p>
            <w:pPr>
              <w:spacing w:after="20"/>
              <w:ind w:firstLine="0"/>
              <w:jc w:val="center"/>
            </w:pPr>
            <w:r/>
            <w:r>
              <w:rPr>
                <w:rFonts w:ascii="Times New Roman" w:hAnsi="Times New Roman"/>
                <w:sz w:val="16"/>
              </w:rPr>
              <w:t>22.1 ± 5.2</w:t>
            </w:r>
          </w:p>
        </w:tc>
      </w:tr>
      <w:tr>
        <w:tc>
          <w:tcPr>
            <w:tcW w:type="dxa" w:w="1425"/>
          </w:tcPr>
          <w:p>
            <w:pPr>
              <w:spacing w:after="20"/>
              <w:ind w:firstLine="0"/>
              <w:jc w:val="center"/>
            </w:pPr>
            <w:r/>
            <w:r>
              <w:rPr>
                <w:rFonts w:ascii="Times New Roman" w:hAnsi="Times New Roman"/>
                <w:sz w:val="16"/>
              </w:rPr>
              <w:t>Env</w:t>
            </w:r>
          </w:p>
        </w:tc>
        <w:tc>
          <w:tcPr>
            <w:tcW w:type="dxa" w:w="1425"/>
          </w:tcPr>
          <w:p>
            <w:pPr>
              <w:spacing w:after="20"/>
              <w:ind w:firstLine="0"/>
              <w:jc w:val="center"/>
            </w:pPr>
            <w:r/>
            <w:r>
              <w:rPr>
                <w:rFonts w:ascii="Times New Roman" w:hAnsi="Times New Roman"/>
                <w:sz w:val="16"/>
              </w:rPr>
              <w:t>semantic</w:t>
            </w:r>
          </w:p>
        </w:tc>
        <w:tc>
          <w:tcPr>
            <w:tcW w:type="dxa" w:w="1425"/>
          </w:tcPr>
          <w:p>
            <w:pPr>
              <w:spacing w:after="20"/>
              <w:ind w:firstLine="0"/>
              <w:jc w:val="center"/>
            </w:pPr>
            <w:r/>
            <w:r>
              <w:rPr>
                <w:rFonts w:ascii="Times New Roman" w:hAnsi="Times New Roman"/>
                <w:sz w:val="16"/>
              </w:rPr>
              <w:t>5.1</w:t>
            </w:r>
          </w:p>
        </w:tc>
        <w:tc>
          <w:tcPr>
            <w:tcW w:type="dxa" w:w="1425"/>
          </w:tcPr>
          <w:p>
            <w:pPr>
              <w:spacing w:after="20"/>
              <w:ind w:firstLine="0"/>
              <w:jc w:val="center"/>
            </w:pPr>
            <w:r/>
            <w:r>
              <w:rPr>
                <w:rFonts w:ascii="Times New Roman" w:hAnsi="Times New Roman"/>
                <w:sz w:val="16"/>
              </w:rPr>
              <w:t>0.59</w:t>
            </w:r>
          </w:p>
        </w:tc>
        <w:tc>
          <w:tcPr>
            <w:tcW w:type="dxa" w:w="1425"/>
          </w:tcPr>
          <w:p>
            <w:pPr>
              <w:spacing w:after="20"/>
              <w:ind w:firstLine="0"/>
              <w:jc w:val="center"/>
            </w:pPr>
            <w:r/>
            <w:r>
              <w:rPr>
                <w:rFonts w:ascii="Times New Roman" w:hAnsi="Times New Roman"/>
                <w:sz w:val="16"/>
              </w:rPr>
              <w:t>0.053</w:t>
            </w:r>
          </w:p>
        </w:tc>
        <w:tc>
          <w:tcPr>
            <w:tcW w:type="dxa" w:w="1425"/>
          </w:tcPr>
          <w:p>
            <w:pPr>
              <w:spacing w:after="20"/>
              <w:ind w:firstLine="0"/>
              <w:jc w:val="center"/>
            </w:pPr>
            <w:r/>
            <w:r>
              <w:rPr>
                <w:rFonts w:ascii="Times New Roman" w:hAnsi="Times New Roman"/>
                <w:sz w:val="16"/>
              </w:rPr>
              <w:t>42.3 ± 0.2</w:t>
            </w:r>
          </w:p>
        </w:tc>
        <w:tc>
          <w:tcPr>
            <w:tcW w:type="dxa" w:w="1425"/>
          </w:tcPr>
          <w:p>
            <w:pPr>
              <w:spacing w:after="20"/>
              <w:ind w:firstLine="0"/>
              <w:jc w:val="center"/>
            </w:pPr>
            <w:r/>
            <w:r>
              <w:rPr>
                <w:rFonts w:ascii="Times New Roman" w:hAnsi="Times New Roman"/>
                <w:sz w:val="16"/>
              </w:rPr>
              <w:t>19.4 ± 0.2</w:t>
            </w:r>
          </w:p>
        </w:tc>
      </w:tr>
    </w:tbl>
    <w:p>
      <w:pPr>
        <w:spacing w:after="40"/>
      </w:pPr>
    </w:p>
    <w:p>
      <w:pPr>
        <w:sectPr>
          <w:type w:val="continuous"/>
          <w:pgSz w:w="12240" w:h="15840"/>
          <w:pgMar w:top="1417" w:right="1134" w:bottom="1417" w:left="1134" w:header="680" w:footer="680" w:gutter="0"/>
          <w:cols w:space="340" w:num="1"/>
          <w:docGrid w:linePitch="360"/>
        </w:sectPr>
      </w:pPr>
    </w:p>
    <w:p>
      <w:pPr>
        <w:spacing w:before="120" w:after="0"/>
        <w:ind w:firstLine="0"/>
        <w:jc w:val="center"/>
      </w:pPr>
      <w:r>
        <w:drawing>
          <wp:inline xmlns:a="http://schemas.openxmlformats.org/drawingml/2006/main" xmlns:pic="http://schemas.openxmlformats.org/drawingml/2006/picture">
            <wp:extent cx="3054096" cy="1227113"/>
            <wp:docPr id="2" name="Picture 2"/>
            <wp:cNvGraphicFramePr>
              <a:graphicFrameLocks noChangeAspect="1"/>
            </wp:cNvGraphicFramePr>
            <a:graphic>
              <a:graphicData uri="http://schemas.openxmlformats.org/drawingml/2006/picture">
                <pic:pic>
                  <pic:nvPicPr>
                    <pic:cNvPr id="0" name="fig1_suppression_decomposition.png"/>
                    <pic:cNvPicPr/>
                  </pic:nvPicPr>
                  <pic:blipFill>
                    <a:blip r:embed="rId10"/>
                    <a:stretch>
                      <a:fillRect/>
                    </a:stretch>
                  </pic:blipFill>
                  <pic:spPr>
                    <a:xfrm>
                      <a:off x="0" y="0"/>
                      <a:ext cx="3054096" cy="1227113"/>
                    </a:xfrm>
                    <a:prstGeom prst="rect"/>
                  </pic:spPr>
                </pic:pic>
              </a:graphicData>
            </a:graphic>
          </wp:inline>
        </w:drawing>
      </w:r>
    </w:p>
    <w:p>
      <w:pPr>
        <w:spacing w:before="120" w:after="120"/>
        <w:ind w:firstLine="0"/>
        <w:jc w:val="center"/>
      </w:pPr>
      <w:r>
        <w:rPr>
          <w:rFonts w:ascii="Times New Roman" w:hAnsi="Times New Roman"/>
          <w:sz w:val="16"/>
        </w:rPr>
        <w:t>Figure 2. Stage-1 gain decomposition (irrigation): 18.9× report suppression × 2.25× payload shrinkage = 42.6× offered-byte gain; the fixed 60 B header caps the airtime gain at 19.6×.</w:t>
      </w:r>
    </w:p>
    <w:p>
      <w:pPr>
        <w:pStyle w:val="Heading2"/>
      </w:pPr>
      <w:r>
        <w:t>B. Stage 2: NTN Access and Supported Population</w:t>
      </w:r>
    </w:p>
    <w:p>
      <w:pPr>
        <w:spacing w:before="0" w:after="0"/>
        <w:ind w:firstLine="200"/>
      </w:pPr>
      <w:r>
        <w:rPr>
          <w:rFonts w:ascii="Times New Roman" w:hAnsi="Times New Roman"/>
          <w:i w:val="0"/>
          <w:sz w:val="20"/>
        </w:rPr>
        <w:t>Sweeping device population until deadline success falls below 0.95 gives the supportable population M∗. For irrigation (6 h deadline), M∗ rises from 50 (raw periodic) to 200 (event-triggered) to 1,600 (semantic)—an 8× gain over the strongest baseline. For flood warnings (45 min deadline), raw and compressed periodic reporting collapse to M∗ = 0: at even 50 devices per beam, congested slotted-ALOHA access (about 0.9 Erlang offered load) cannot meet the deadline with 95% reliability. Semantic reporting supports 400 devices per beam where the conventional baseline supports none; event-triggered supports 800 (400 under burst). Figures 3–5.</w:t>
      </w:r>
    </w:p>
    <w:p>
      <w:pPr>
        <w:spacing w:before="120" w:after="0"/>
        <w:ind w:firstLine="0"/>
        <w:jc w:val="center"/>
      </w:pPr>
      <w:r>
        <w:drawing>
          <wp:inline xmlns:a="http://schemas.openxmlformats.org/drawingml/2006/main" xmlns:pic="http://schemas.openxmlformats.org/drawingml/2006/picture">
            <wp:extent cx="3054096" cy="1227113"/>
            <wp:docPr id="3" name="Picture 3"/>
            <wp:cNvGraphicFramePr>
              <a:graphicFrameLocks noChangeAspect="1"/>
            </wp:cNvGraphicFramePr>
            <a:graphic>
              <a:graphicData uri="http://schemas.openxmlformats.org/drawingml/2006/picture">
                <pic:pic>
                  <pic:nvPicPr>
                    <pic:cNvPr id="0" name="fig2_airtime_vs_load.png"/>
                    <pic:cNvPicPr/>
                  </pic:nvPicPr>
                  <pic:blipFill>
                    <a:blip r:embed="rId11"/>
                    <a:stretch>
                      <a:fillRect/>
                    </a:stretch>
                  </pic:blipFill>
                  <pic:spPr>
                    <a:xfrm>
                      <a:off x="0" y="0"/>
                      <a:ext cx="3054096" cy="1227113"/>
                    </a:xfrm>
                    <a:prstGeom prst="rect"/>
                  </pic:spPr>
                </pic:pic>
              </a:graphicData>
            </a:graphic>
          </wp:inline>
        </w:drawing>
      </w:r>
    </w:p>
    <w:p>
      <w:pPr>
        <w:spacing w:before="120" w:after="120"/>
        <w:ind w:firstLine="0"/>
        <w:jc w:val="center"/>
      </w:pPr>
      <w:r>
        <w:rPr>
          <w:rFonts w:ascii="Times New Roman" w:hAnsi="Times New Roman"/>
          <w:sz w:val="16"/>
        </w:rPr>
        <w:t>Figure 3. Airtime versus offered load: semantic reporting keeps per-device airtime low as population grows, while raw periodic reporting congests the random-access channel.</w:t>
      </w:r>
    </w:p>
    <w:p>
      <w:pPr>
        <w:spacing w:before="120" w:after="0"/>
        <w:ind w:firstLine="0"/>
        <w:jc w:val="center"/>
      </w:pPr>
      <w:r>
        <w:drawing>
          <wp:inline xmlns:a="http://schemas.openxmlformats.org/drawingml/2006/main" xmlns:pic="http://schemas.openxmlformats.org/drawingml/2006/picture">
            <wp:extent cx="3054096" cy="1961084"/>
            <wp:docPr id="4" name="Picture 4"/>
            <wp:cNvGraphicFramePr>
              <a:graphicFrameLocks noChangeAspect="1"/>
            </wp:cNvGraphicFramePr>
            <a:graphic>
              <a:graphicData uri="http://schemas.openxmlformats.org/drawingml/2006/picture">
                <pic:pic>
                  <pic:nvPicPr>
                    <pic:cNvPr id="0" name="fig4a_task_capacity_agri.png"/>
                    <pic:cNvPicPr/>
                  </pic:nvPicPr>
                  <pic:blipFill>
                    <a:blip r:embed="rId12"/>
                    <a:stretch>
                      <a:fillRect/>
                    </a:stretch>
                  </pic:blipFill>
                  <pic:spPr>
                    <a:xfrm>
                      <a:off x="0" y="0"/>
                      <a:ext cx="3054096" cy="1961084"/>
                    </a:xfrm>
                    <a:prstGeom prst="rect"/>
                  </pic:spPr>
                </pic:pic>
              </a:graphicData>
            </a:graphic>
          </wp:inline>
        </w:drawing>
      </w:r>
    </w:p>
    <w:p>
      <w:pPr>
        <w:spacing w:before="120" w:after="120"/>
        <w:ind w:firstLine="0"/>
        <w:jc w:val="center"/>
      </w:pPr>
      <w:r>
        <w:rPr>
          <w:rFonts w:ascii="Times New Roman" w:hAnsi="Times New Roman"/>
          <w:sz w:val="16"/>
        </w:rPr>
        <w:t>Figure 4. Task capacity (irrigation, 6 h deadline): supported devices per beam at 95% deadline success; semantic supports 1,600 versus 50 for raw periodic.</w:t>
      </w:r>
    </w:p>
    <w:p>
      <w:pPr>
        <w:spacing w:before="120" w:after="0"/>
        <w:ind w:firstLine="0"/>
        <w:jc w:val="center"/>
      </w:pPr>
      <w:r>
        <w:drawing>
          <wp:inline xmlns:a="http://schemas.openxmlformats.org/drawingml/2006/main" xmlns:pic="http://schemas.openxmlformats.org/drawingml/2006/picture">
            <wp:extent cx="3054096" cy="1961084"/>
            <wp:docPr id="5" name="Picture 5"/>
            <wp:cNvGraphicFramePr>
              <a:graphicFrameLocks noChangeAspect="1"/>
            </wp:cNvGraphicFramePr>
            <a:graphic>
              <a:graphicData uri="http://schemas.openxmlformats.org/drawingml/2006/picture">
                <pic:pic>
                  <pic:nvPicPr>
                    <pic:cNvPr id="0" name="fig4b_task_capacity_env.png"/>
                    <pic:cNvPicPr/>
                  </pic:nvPicPr>
                  <pic:blipFill>
                    <a:blip r:embed="rId13"/>
                    <a:stretch>
                      <a:fillRect/>
                    </a:stretch>
                  </pic:blipFill>
                  <pic:spPr>
                    <a:xfrm>
                      <a:off x="0" y="0"/>
                      <a:ext cx="3054096" cy="1961084"/>
                    </a:xfrm>
                    <a:prstGeom prst="rect"/>
                  </pic:spPr>
                </pic:pic>
              </a:graphicData>
            </a:graphic>
          </wp:inline>
        </w:drawing>
      </w:r>
    </w:p>
    <w:p>
      <w:pPr>
        <w:spacing w:before="120" w:after="120"/>
        <w:ind w:firstLine="0"/>
        <w:jc w:val="center"/>
      </w:pPr>
      <w:r>
        <w:rPr>
          <w:rFonts w:ascii="Times New Roman" w:hAnsi="Times New Roman"/>
          <w:sz w:val="16"/>
        </w:rPr>
        <w:t>Figure 5. Task capacity (flood warning, 45 min deadline): raw and compressed periodic reporting support zero devices at any modeled population; semantic supports 400.</w:t>
      </w:r>
    </w:p>
    <w:p>
      <w:pPr>
        <w:spacing w:before="0" w:after="0"/>
        <w:ind w:firstLine="200"/>
      </w:pPr>
      <w:r>
        <w:rPr>
          <w:rFonts w:ascii="Times New Roman" w:hAnsi="Times New Roman"/>
          <w:i w:val="0"/>
          <w:sz w:val="20"/>
        </w:rPr>
        <w:t>Under a correlated burst with 5% of devices active in one pass (M = 800), irrigation semantic reporting holds deadline success at 1.00. Flood-warning semantic reporting degrades from 0.93 to 0.75 and event-triggered from 0.96 to 0.81, while raw and compressed periodic remain at zero (Fig. 9). Correlated bursts partially reverse the average-traffic gain, as predicted in Section III.</w:t>
      </w:r>
    </w:p>
    <w:p>
      <w:pPr>
        <w:pStyle w:val="Heading2"/>
      </w:pPr>
      <w:r>
        <w:t>C. Stage 3: Task Quality</w:t>
      </w:r>
    </w:p>
    <w:p>
      <w:pPr>
        <w:spacing w:before="0" w:after="0"/>
        <w:ind w:firstLine="200"/>
      </w:pPr>
      <w:r>
        <w:rPr>
          <w:rFonts w:ascii="Times New Roman" w:hAnsi="Times New Roman"/>
          <w:i w:val="0"/>
          <w:sz w:val="20"/>
        </w:rPr>
        <w:t>Table II reports episode-based task quality at the operating point of 100 devices per beam; a hit requires the decision to be delivered within the application deadline. For irrigation, semantic reporting achieves recall 1.000 ± 0.000 with 0.06 ± 0.07 false alarms per week and GTO = 19.6×. Decisions arrive 7.6 h early on average with 8.0 h mean timing error—but so do all baselines (−5.1 to −7.9 h): the earliness is a property of the slow soil-moisture dry-down trace and the threshold rule, not of semantic reporting. For irrigation the asymmetry is benign (early irrigation is far cheaper than late), and it is reported as measured.</w:t>
      </w:r>
    </w:p>
    <w:p>
      <w:pPr>
        <w:spacing w:before="0" w:after="0"/>
        <w:ind w:firstLine="200"/>
      </w:pPr>
      <w:r>
        <w:rPr>
          <w:rFonts w:ascii="Times New Roman" w:hAnsi="Times New Roman"/>
          <w:i w:val="0"/>
          <w:sz w:val="20"/>
        </w:rPr>
        <w:t>For flood warnings, semantic reporting achieves recall 0.928 ± 0.068 (miss probability 0.072), 0.03 ± 0.07 false alarms per week, and +0.51 h mean detection delay, giving GTO = 104.6×. The ratio is large because the raw baseline collapses (recall 0.157 ± 0.111, miss probability 0.843) under the tight deadline; it is reported as measured, not trimmed. With ideal delivery the tuned rule has recall 1.0, so the residual 7.2% misses are access losses at 100 devices per beam, not decision errors. Event-triggered reporting reaches recall 0.657—a respectable, cheap baseline; the semantic edge is the additional 27 points of recall plus 19× less airtime. Figures 6–7.</w:t>
      </w:r>
    </w:p>
    <w:p>
      <w:pPr>
        <w:sectPr>
          <w:type w:val="continuous"/>
          <w:pgSz w:w="12240" w:h="15840"/>
          <w:pgMar w:top="1417" w:right="1134" w:bottom="1417" w:left="1134" w:header="680" w:footer="680" w:gutter="0"/>
          <w:cols w:space="340" w:num="2"/>
          <w:docGrid w:linePitch="360"/>
        </w:sectPr>
      </w:pPr>
    </w:p>
    <w:p>
      <w:pPr>
        <w:spacing w:before="120" w:after="80"/>
        <w:ind w:firstLine="0"/>
        <w:jc w:val="center"/>
      </w:pPr>
      <w:r>
        <w:rPr>
          <w:rFonts w:ascii="Times New Roman" w:hAnsi="Times New Roman"/>
          <w:sz w:val="16"/>
        </w:rPr>
        <w:t>TABLE II. STAGE-3 TASK QUALITY AT 100 DEVICES/BEAM (EPISODE-BASED; HIT REQUIRES DELIVERY WITHIN DEADLINE)</w:t>
      </w:r>
    </w:p>
    <w:tbl>
      <w:tblPr>
        <w:tblStyle w:val="TableGrid"/>
        <w:tblW w:type="auto" w:w="0"/>
        <w:tblLayout w:type="autofit"/>
        <w:tblLook w:firstColumn="1" w:firstRow="1" w:lastColumn="0" w:lastRow="0" w:noHBand="0" w:noVBand="1" w:val="04A0"/>
      </w:tblPr>
      <w:tblGrid>
        <w:gridCol w:w="1425"/>
        <w:gridCol w:w="1425"/>
        <w:gridCol w:w="1425"/>
        <w:gridCol w:w="1425"/>
        <w:gridCol w:w="1425"/>
        <w:gridCol w:w="1425"/>
        <w:gridCol w:w="1425"/>
      </w:tblGrid>
      <w:tr>
        <w:tc>
          <w:tcPr>
            <w:tcW w:type="dxa" w:w="1425"/>
          </w:tcPr>
          <w:p>
            <w:pPr>
              <w:spacing w:after="20"/>
              <w:ind w:firstLine="0"/>
              <w:jc w:val="center"/>
            </w:pPr>
            <w:r/>
            <w:r>
              <w:rPr>
                <w:rFonts w:ascii="Times New Roman" w:hAnsi="Times New Roman"/>
                <w:b/>
                <w:sz w:val="16"/>
              </w:rPr>
              <w:t>App</w:t>
            </w:r>
          </w:p>
        </w:tc>
        <w:tc>
          <w:tcPr>
            <w:tcW w:type="dxa" w:w="1425"/>
          </w:tcPr>
          <w:p>
            <w:pPr>
              <w:spacing w:after="20"/>
              <w:ind w:firstLine="0"/>
              <w:jc w:val="center"/>
            </w:pPr>
            <w:r/>
            <w:r>
              <w:rPr>
                <w:rFonts w:ascii="Times New Roman" w:hAnsi="Times New Roman"/>
                <w:b/>
                <w:sz w:val="16"/>
              </w:rPr>
              <w:t>Mode</w:t>
            </w:r>
          </w:p>
        </w:tc>
        <w:tc>
          <w:tcPr>
            <w:tcW w:type="dxa" w:w="1425"/>
          </w:tcPr>
          <w:p>
            <w:pPr>
              <w:spacing w:after="20"/>
              <w:ind w:firstLine="0"/>
              <w:jc w:val="center"/>
            </w:pPr>
            <w:r/>
            <w:r>
              <w:rPr>
                <w:rFonts w:ascii="Times New Roman" w:hAnsi="Times New Roman"/>
                <w:b/>
                <w:sz w:val="16"/>
              </w:rPr>
              <w:t>Recall</w:t>
            </w:r>
          </w:p>
        </w:tc>
        <w:tc>
          <w:tcPr>
            <w:tcW w:type="dxa" w:w="1425"/>
          </w:tcPr>
          <w:p>
            <w:pPr>
              <w:spacing w:after="20"/>
              <w:ind w:firstLine="0"/>
              <w:jc w:val="center"/>
            </w:pPr>
            <w:r/>
            <w:r>
              <w:rPr>
                <w:rFonts w:ascii="Times New Roman" w:hAnsi="Times New Roman"/>
                <w:b/>
                <w:sz w:val="16"/>
              </w:rPr>
              <w:t>Pmiss</w:t>
            </w:r>
          </w:p>
        </w:tc>
        <w:tc>
          <w:tcPr>
            <w:tcW w:type="dxa" w:w="1425"/>
          </w:tcPr>
          <w:p>
            <w:pPr>
              <w:spacing w:after="20"/>
              <w:ind w:firstLine="0"/>
              <w:jc w:val="center"/>
            </w:pPr>
            <w:r/>
            <w:r>
              <w:rPr>
                <w:rFonts w:ascii="Times New Roman" w:hAnsi="Times New Roman"/>
                <w:b/>
                <w:sz w:val="16"/>
              </w:rPr>
              <w:t>FA/wk</w:t>
            </w:r>
          </w:p>
        </w:tc>
        <w:tc>
          <w:tcPr>
            <w:tcW w:type="dxa" w:w="1425"/>
          </w:tcPr>
          <w:p>
            <w:pPr>
              <w:spacing w:after="20"/>
              <w:ind w:firstLine="0"/>
              <w:jc w:val="center"/>
            </w:pPr>
            <w:r/>
            <w:r>
              <w:rPr>
                <w:rFonts w:ascii="Times New Roman" w:hAnsi="Times New Roman"/>
                <w:b/>
                <w:sz w:val="16"/>
              </w:rPr>
              <w:t>Delay</w:t>
            </w:r>
          </w:p>
        </w:tc>
        <w:tc>
          <w:tcPr>
            <w:tcW w:type="dxa" w:w="1425"/>
          </w:tcPr>
          <w:p>
            <w:pPr>
              <w:spacing w:after="20"/>
              <w:ind w:firstLine="0"/>
              <w:jc w:val="center"/>
            </w:pPr>
            <w:r/>
            <w:r>
              <w:rPr>
                <w:rFonts w:ascii="Times New Roman" w:hAnsi="Times New Roman"/>
                <w:b/>
                <w:sz w:val="16"/>
              </w:rPr>
              <w:t>GTO</w:t>
            </w:r>
          </w:p>
        </w:tc>
      </w:tr>
      <w:tr>
        <w:tc>
          <w:tcPr>
            <w:tcW w:type="dxa" w:w="1425"/>
          </w:tcPr>
          <w:p>
            <w:pPr>
              <w:spacing w:after="20"/>
              <w:ind w:firstLine="0"/>
              <w:jc w:val="center"/>
            </w:pPr>
            <w:r/>
            <w:r>
              <w:rPr>
                <w:rFonts w:ascii="Times New Roman" w:hAnsi="Times New Roman"/>
                <w:sz w:val="16"/>
              </w:rPr>
              <w:t>Agri</w:t>
            </w:r>
          </w:p>
        </w:tc>
        <w:tc>
          <w:tcPr>
            <w:tcW w:type="dxa" w:w="1425"/>
          </w:tcPr>
          <w:p>
            <w:pPr>
              <w:spacing w:after="20"/>
              <w:ind w:firstLine="0"/>
              <w:jc w:val="center"/>
            </w:pPr>
            <w:r/>
            <w:r>
              <w:rPr>
                <w:rFonts w:ascii="Times New Roman" w:hAnsi="Times New Roman"/>
                <w:sz w:val="16"/>
              </w:rPr>
              <w:t>raw</w:t>
            </w:r>
          </w:p>
        </w:tc>
        <w:tc>
          <w:tcPr>
            <w:tcW w:type="dxa" w:w="1425"/>
          </w:tcPr>
          <w:p>
            <w:pPr>
              <w:spacing w:after="20"/>
              <w:ind w:firstLine="0"/>
              <w:jc w:val="center"/>
            </w:pPr>
            <w:r/>
            <w:r>
              <w:rPr>
                <w:rFonts w:ascii="Times New Roman" w:hAnsi="Times New Roman"/>
                <w:sz w:val="16"/>
              </w:rPr>
              <w:t>1.000±0.000</w:t>
            </w:r>
          </w:p>
        </w:tc>
        <w:tc>
          <w:tcPr>
            <w:tcW w:type="dxa" w:w="1425"/>
          </w:tcPr>
          <w:p>
            <w:pPr>
              <w:spacing w:after="20"/>
              <w:ind w:firstLine="0"/>
              <w:jc w:val="center"/>
            </w:pPr>
            <w:r/>
            <w:r>
              <w:rPr>
                <w:rFonts w:ascii="Times New Roman" w:hAnsi="Times New Roman"/>
                <w:sz w:val="16"/>
              </w:rPr>
              <w:t>0.000</w:t>
            </w:r>
          </w:p>
        </w:tc>
        <w:tc>
          <w:tcPr>
            <w:tcW w:type="dxa" w:w="1425"/>
          </w:tcPr>
          <w:p>
            <w:pPr>
              <w:spacing w:after="20"/>
              <w:ind w:firstLine="0"/>
              <w:jc w:val="center"/>
            </w:pPr>
            <w:r/>
            <w:r>
              <w:rPr>
                <w:rFonts w:ascii="Times New Roman" w:hAnsi="Times New Roman"/>
                <w:sz w:val="16"/>
              </w:rPr>
              <w:t>0.06±0.07</w:t>
            </w:r>
          </w:p>
        </w:tc>
        <w:tc>
          <w:tcPr>
            <w:tcW w:type="dxa" w:w="1425"/>
          </w:tcPr>
          <w:p>
            <w:pPr>
              <w:spacing w:after="20"/>
              <w:ind w:firstLine="0"/>
              <w:jc w:val="center"/>
            </w:pPr>
            <w:r/>
            <w:r>
              <w:rPr>
                <w:rFonts w:ascii="Times New Roman" w:hAnsi="Times New Roman"/>
                <w:sz w:val="16"/>
              </w:rPr>
              <w:t>−5.1 h</w:t>
            </w:r>
          </w:p>
        </w:tc>
        <w:tc>
          <w:tcPr>
            <w:tcW w:type="dxa" w:w="1425"/>
          </w:tcPr>
          <w:p>
            <w:pPr>
              <w:spacing w:after="20"/>
              <w:ind w:firstLine="0"/>
              <w:jc w:val="center"/>
            </w:pPr>
            <w:r/>
            <w:r>
              <w:rPr>
                <w:rFonts w:ascii="Times New Roman" w:hAnsi="Times New Roman"/>
                <w:sz w:val="16"/>
              </w:rPr>
              <w:t>1.0</w:t>
            </w:r>
          </w:p>
        </w:tc>
      </w:tr>
      <w:tr>
        <w:tc>
          <w:tcPr>
            <w:tcW w:type="dxa" w:w="1425"/>
          </w:tcPr>
          <w:p>
            <w:pPr>
              <w:spacing w:after="20"/>
              <w:ind w:firstLine="0"/>
              <w:jc w:val="center"/>
            </w:pPr>
            <w:r/>
            <w:r>
              <w:rPr>
                <w:rFonts w:ascii="Times New Roman" w:hAnsi="Times New Roman"/>
                <w:sz w:val="16"/>
              </w:rPr>
              <w:t>Agri</w:t>
            </w:r>
          </w:p>
        </w:tc>
        <w:tc>
          <w:tcPr>
            <w:tcW w:type="dxa" w:w="1425"/>
          </w:tcPr>
          <w:p>
            <w:pPr>
              <w:spacing w:after="20"/>
              <w:ind w:firstLine="0"/>
              <w:jc w:val="center"/>
            </w:pPr>
            <w:r/>
            <w:r>
              <w:rPr>
                <w:rFonts w:ascii="Times New Roman" w:hAnsi="Times New Roman"/>
                <w:sz w:val="16"/>
              </w:rPr>
              <w:t>compr.</w:t>
            </w:r>
          </w:p>
        </w:tc>
        <w:tc>
          <w:tcPr>
            <w:tcW w:type="dxa" w:w="1425"/>
          </w:tcPr>
          <w:p>
            <w:pPr>
              <w:spacing w:after="20"/>
              <w:ind w:firstLine="0"/>
              <w:jc w:val="center"/>
            </w:pPr>
            <w:r/>
            <w:r>
              <w:rPr>
                <w:rFonts w:ascii="Times New Roman" w:hAnsi="Times New Roman"/>
                <w:sz w:val="16"/>
              </w:rPr>
              <w:t>1.000</w:t>
            </w:r>
          </w:p>
        </w:tc>
        <w:tc>
          <w:tcPr>
            <w:tcW w:type="dxa" w:w="1425"/>
          </w:tcPr>
          <w:p>
            <w:pPr>
              <w:spacing w:after="20"/>
              <w:ind w:firstLine="0"/>
              <w:jc w:val="center"/>
            </w:pPr>
            <w:r/>
            <w:r>
              <w:rPr>
                <w:rFonts w:ascii="Times New Roman" w:hAnsi="Times New Roman"/>
                <w:sz w:val="16"/>
              </w:rPr>
              <w:t>0.000</w:t>
            </w:r>
          </w:p>
        </w:tc>
        <w:tc>
          <w:tcPr>
            <w:tcW w:type="dxa" w:w="1425"/>
          </w:tcPr>
          <w:p>
            <w:pPr>
              <w:spacing w:after="20"/>
              <w:ind w:firstLine="0"/>
              <w:jc w:val="center"/>
            </w:pPr>
            <w:r/>
            <w:r>
              <w:rPr>
                <w:rFonts w:ascii="Times New Roman" w:hAnsi="Times New Roman"/>
                <w:sz w:val="16"/>
              </w:rPr>
              <w:t>0.06</w:t>
            </w:r>
          </w:p>
        </w:tc>
        <w:tc>
          <w:tcPr>
            <w:tcW w:type="dxa" w:w="1425"/>
          </w:tcPr>
          <w:p>
            <w:pPr>
              <w:spacing w:after="20"/>
              <w:ind w:firstLine="0"/>
              <w:jc w:val="center"/>
            </w:pPr>
            <w:r/>
            <w:r>
              <w:rPr>
                <w:rFonts w:ascii="Times New Roman" w:hAnsi="Times New Roman"/>
                <w:sz w:val="16"/>
              </w:rPr>
              <w:t>−5.9 h</w:t>
            </w:r>
          </w:p>
        </w:tc>
        <w:tc>
          <w:tcPr>
            <w:tcW w:type="dxa" w:w="1425"/>
          </w:tcPr>
          <w:p>
            <w:pPr>
              <w:spacing w:after="20"/>
              <w:ind w:firstLine="0"/>
              <w:jc w:val="center"/>
            </w:pPr>
            <w:r/>
            <w:r>
              <w:rPr>
                <w:rFonts w:ascii="Times New Roman" w:hAnsi="Times New Roman"/>
                <w:sz w:val="16"/>
              </w:rPr>
              <w:t>1.0</w:t>
            </w:r>
          </w:p>
        </w:tc>
      </w:tr>
      <w:tr>
        <w:tc>
          <w:tcPr>
            <w:tcW w:type="dxa" w:w="1425"/>
          </w:tcPr>
          <w:p>
            <w:pPr>
              <w:spacing w:after="20"/>
              <w:ind w:firstLine="0"/>
              <w:jc w:val="center"/>
            </w:pPr>
            <w:r/>
            <w:r>
              <w:rPr>
                <w:rFonts w:ascii="Times New Roman" w:hAnsi="Times New Roman"/>
                <w:sz w:val="16"/>
              </w:rPr>
              <w:t>Agri</w:t>
            </w:r>
          </w:p>
        </w:tc>
        <w:tc>
          <w:tcPr>
            <w:tcW w:type="dxa" w:w="1425"/>
          </w:tcPr>
          <w:p>
            <w:pPr>
              <w:spacing w:after="20"/>
              <w:ind w:firstLine="0"/>
              <w:jc w:val="center"/>
            </w:pPr>
            <w:r/>
            <w:r>
              <w:rPr>
                <w:rFonts w:ascii="Times New Roman" w:hAnsi="Times New Roman"/>
                <w:sz w:val="16"/>
              </w:rPr>
              <w:t>event</w:t>
            </w:r>
          </w:p>
        </w:tc>
        <w:tc>
          <w:tcPr>
            <w:tcW w:type="dxa" w:w="1425"/>
          </w:tcPr>
          <w:p>
            <w:pPr>
              <w:spacing w:after="20"/>
              <w:ind w:firstLine="0"/>
              <w:jc w:val="center"/>
            </w:pPr>
            <w:r/>
            <w:r>
              <w:rPr>
                <w:rFonts w:ascii="Times New Roman" w:hAnsi="Times New Roman"/>
                <w:sz w:val="16"/>
              </w:rPr>
              <w:t>1.000</w:t>
            </w:r>
          </w:p>
        </w:tc>
        <w:tc>
          <w:tcPr>
            <w:tcW w:type="dxa" w:w="1425"/>
          </w:tcPr>
          <w:p>
            <w:pPr>
              <w:spacing w:after="20"/>
              <w:ind w:firstLine="0"/>
              <w:jc w:val="center"/>
            </w:pPr>
            <w:r/>
            <w:r>
              <w:rPr>
                <w:rFonts w:ascii="Times New Roman" w:hAnsi="Times New Roman"/>
                <w:sz w:val="16"/>
              </w:rPr>
              <w:t>0.000</w:t>
            </w:r>
          </w:p>
        </w:tc>
        <w:tc>
          <w:tcPr>
            <w:tcW w:type="dxa" w:w="1425"/>
          </w:tcPr>
          <w:p>
            <w:pPr>
              <w:spacing w:after="20"/>
              <w:ind w:firstLine="0"/>
              <w:jc w:val="center"/>
            </w:pPr>
            <w:r/>
            <w:r>
              <w:rPr>
                <w:rFonts w:ascii="Times New Roman" w:hAnsi="Times New Roman"/>
                <w:sz w:val="16"/>
              </w:rPr>
              <w:t>0.09</w:t>
            </w:r>
          </w:p>
        </w:tc>
        <w:tc>
          <w:tcPr>
            <w:tcW w:type="dxa" w:w="1425"/>
          </w:tcPr>
          <w:p>
            <w:pPr>
              <w:spacing w:after="20"/>
              <w:ind w:firstLine="0"/>
              <w:jc w:val="center"/>
            </w:pPr>
            <w:r/>
            <w:r>
              <w:rPr>
                <w:rFonts w:ascii="Times New Roman" w:hAnsi="Times New Roman"/>
                <w:sz w:val="16"/>
              </w:rPr>
              <w:t>−7.9 h</w:t>
            </w:r>
          </w:p>
        </w:tc>
        <w:tc>
          <w:tcPr>
            <w:tcW w:type="dxa" w:w="1425"/>
          </w:tcPr>
          <w:p>
            <w:pPr>
              <w:spacing w:after="20"/>
              <w:ind w:firstLine="0"/>
              <w:jc w:val="center"/>
            </w:pPr>
            <w:r/>
            <w:r>
              <w:rPr>
                <w:rFonts w:ascii="Times New Roman" w:hAnsi="Times New Roman"/>
                <w:sz w:val="16"/>
              </w:rPr>
              <w:t>2.7</w:t>
            </w:r>
          </w:p>
        </w:tc>
      </w:tr>
      <w:tr>
        <w:tc>
          <w:tcPr>
            <w:tcW w:type="dxa" w:w="1425"/>
          </w:tcPr>
          <w:p>
            <w:pPr>
              <w:spacing w:after="20"/>
              <w:ind w:firstLine="0"/>
              <w:jc w:val="center"/>
            </w:pPr>
            <w:r/>
            <w:r>
              <w:rPr>
                <w:rFonts w:ascii="Times New Roman" w:hAnsi="Times New Roman"/>
                <w:sz w:val="16"/>
              </w:rPr>
              <w:t>Agri</w:t>
            </w:r>
          </w:p>
        </w:tc>
        <w:tc>
          <w:tcPr>
            <w:tcW w:type="dxa" w:w="1425"/>
          </w:tcPr>
          <w:p>
            <w:pPr>
              <w:spacing w:after="20"/>
              <w:ind w:firstLine="0"/>
              <w:jc w:val="center"/>
            </w:pPr>
            <w:r/>
            <w:r>
              <w:rPr>
                <w:rFonts w:ascii="Times New Roman" w:hAnsi="Times New Roman"/>
                <w:sz w:val="16"/>
              </w:rPr>
              <w:t>semantic</w:t>
            </w:r>
          </w:p>
        </w:tc>
        <w:tc>
          <w:tcPr>
            <w:tcW w:type="dxa" w:w="1425"/>
          </w:tcPr>
          <w:p>
            <w:pPr>
              <w:spacing w:after="20"/>
              <w:ind w:firstLine="0"/>
              <w:jc w:val="center"/>
            </w:pPr>
            <w:r/>
            <w:r>
              <w:rPr>
                <w:rFonts w:ascii="Times New Roman" w:hAnsi="Times New Roman"/>
                <w:sz w:val="16"/>
              </w:rPr>
              <w:t>1.000±0.000</w:t>
            </w:r>
          </w:p>
        </w:tc>
        <w:tc>
          <w:tcPr>
            <w:tcW w:type="dxa" w:w="1425"/>
          </w:tcPr>
          <w:p>
            <w:pPr>
              <w:spacing w:after="20"/>
              <w:ind w:firstLine="0"/>
              <w:jc w:val="center"/>
            </w:pPr>
            <w:r/>
            <w:r>
              <w:rPr>
                <w:rFonts w:ascii="Times New Roman" w:hAnsi="Times New Roman"/>
                <w:sz w:val="16"/>
              </w:rPr>
              <w:t>0.000</w:t>
            </w:r>
          </w:p>
        </w:tc>
        <w:tc>
          <w:tcPr>
            <w:tcW w:type="dxa" w:w="1425"/>
          </w:tcPr>
          <w:p>
            <w:pPr>
              <w:spacing w:after="20"/>
              <w:ind w:firstLine="0"/>
              <w:jc w:val="center"/>
            </w:pPr>
            <w:r/>
            <w:r>
              <w:rPr>
                <w:rFonts w:ascii="Times New Roman" w:hAnsi="Times New Roman"/>
                <w:sz w:val="16"/>
              </w:rPr>
              <w:t>0.06±0.07</w:t>
            </w:r>
          </w:p>
        </w:tc>
        <w:tc>
          <w:tcPr>
            <w:tcW w:type="dxa" w:w="1425"/>
          </w:tcPr>
          <w:p>
            <w:pPr>
              <w:spacing w:after="20"/>
              <w:ind w:firstLine="0"/>
              <w:jc w:val="center"/>
            </w:pPr>
            <w:r/>
            <w:r>
              <w:rPr>
                <w:rFonts w:ascii="Times New Roman" w:hAnsi="Times New Roman"/>
                <w:sz w:val="16"/>
              </w:rPr>
              <w:t>−7.6 h</w:t>
            </w:r>
          </w:p>
        </w:tc>
        <w:tc>
          <w:tcPr>
            <w:tcW w:type="dxa" w:w="1425"/>
          </w:tcPr>
          <w:p>
            <w:pPr>
              <w:spacing w:after="20"/>
              <w:ind w:firstLine="0"/>
              <w:jc w:val="center"/>
            </w:pPr>
            <w:r/>
            <w:r>
              <w:rPr>
                <w:rFonts w:ascii="Times New Roman" w:hAnsi="Times New Roman"/>
                <w:sz w:val="16"/>
              </w:rPr>
              <w:t>19.6</w:t>
            </w:r>
          </w:p>
        </w:tc>
      </w:tr>
      <w:tr>
        <w:tc>
          <w:tcPr>
            <w:tcW w:type="dxa" w:w="1425"/>
          </w:tcPr>
          <w:p>
            <w:pPr>
              <w:spacing w:after="20"/>
              <w:ind w:firstLine="0"/>
              <w:jc w:val="center"/>
            </w:pPr>
            <w:r/>
            <w:r>
              <w:rPr>
                <w:rFonts w:ascii="Times New Roman" w:hAnsi="Times New Roman"/>
                <w:sz w:val="16"/>
              </w:rPr>
              <w:t>Env</w:t>
            </w:r>
          </w:p>
        </w:tc>
        <w:tc>
          <w:tcPr>
            <w:tcW w:type="dxa" w:w="1425"/>
          </w:tcPr>
          <w:p>
            <w:pPr>
              <w:spacing w:after="20"/>
              <w:ind w:firstLine="0"/>
              <w:jc w:val="center"/>
            </w:pPr>
            <w:r/>
            <w:r>
              <w:rPr>
                <w:rFonts w:ascii="Times New Roman" w:hAnsi="Times New Roman"/>
                <w:sz w:val="16"/>
              </w:rPr>
              <w:t>raw</w:t>
            </w:r>
          </w:p>
        </w:tc>
        <w:tc>
          <w:tcPr>
            <w:tcW w:type="dxa" w:w="1425"/>
          </w:tcPr>
          <w:p>
            <w:pPr>
              <w:spacing w:after="20"/>
              <w:ind w:firstLine="0"/>
              <w:jc w:val="center"/>
            </w:pPr>
            <w:r/>
            <w:r>
              <w:rPr>
                <w:rFonts w:ascii="Times New Roman" w:hAnsi="Times New Roman"/>
                <w:sz w:val="16"/>
              </w:rPr>
              <w:t>0.157±0.111</w:t>
            </w:r>
          </w:p>
        </w:tc>
        <w:tc>
          <w:tcPr>
            <w:tcW w:type="dxa" w:w="1425"/>
          </w:tcPr>
          <w:p>
            <w:pPr>
              <w:spacing w:after="20"/>
              <w:ind w:firstLine="0"/>
              <w:jc w:val="center"/>
            </w:pPr>
            <w:r/>
            <w:r>
              <w:rPr>
                <w:rFonts w:ascii="Times New Roman" w:hAnsi="Times New Roman"/>
                <w:sz w:val="16"/>
              </w:rPr>
              <w:t>0.843</w:t>
            </w:r>
          </w:p>
        </w:tc>
        <w:tc>
          <w:tcPr>
            <w:tcW w:type="dxa" w:w="1425"/>
          </w:tcPr>
          <w:p>
            <w:pPr>
              <w:spacing w:after="20"/>
              <w:ind w:firstLine="0"/>
              <w:jc w:val="center"/>
            </w:pPr>
            <w:r/>
            <w:r>
              <w:rPr>
                <w:rFonts w:ascii="Times New Roman" w:hAnsi="Times New Roman"/>
                <w:sz w:val="16"/>
              </w:rPr>
              <w:t>0.02</w:t>
            </w:r>
          </w:p>
        </w:tc>
        <w:tc>
          <w:tcPr>
            <w:tcW w:type="dxa" w:w="1425"/>
          </w:tcPr>
          <w:p>
            <w:pPr>
              <w:spacing w:after="20"/>
              <w:ind w:firstLine="0"/>
              <w:jc w:val="center"/>
            </w:pPr>
            <w:r/>
            <w:r>
              <w:rPr>
                <w:rFonts w:ascii="Times New Roman" w:hAnsi="Times New Roman"/>
                <w:sz w:val="16"/>
              </w:rPr>
              <w:t>+0.57 h</w:t>
            </w:r>
          </w:p>
        </w:tc>
        <w:tc>
          <w:tcPr>
            <w:tcW w:type="dxa" w:w="1425"/>
          </w:tcPr>
          <w:p>
            <w:pPr>
              <w:spacing w:after="20"/>
              <w:ind w:firstLine="0"/>
              <w:jc w:val="center"/>
            </w:pPr>
            <w:r/>
            <w:r>
              <w:rPr>
                <w:rFonts w:ascii="Times New Roman" w:hAnsi="Times New Roman"/>
                <w:sz w:val="16"/>
              </w:rPr>
              <w:t>1.0</w:t>
            </w:r>
          </w:p>
        </w:tc>
      </w:tr>
      <w:tr>
        <w:tc>
          <w:tcPr>
            <w:tcW w:type="dxa" w:w="1425"/>
          </w:tcPr>
          <w:p>
            <w:pPr>
              <w:spacing w:after="20"/>
              <w:ind w:firstLine="0"/>
              <w:jc w:val="center"/>
            </w:pPr>
            <w:r/>
            <w:r>
              <w:rPr>
                <w:rFonts w:ascii="Times New Roman" w:hAnsi="Times New Roman"/>
                <w:sz w:val="16"/>
              </w:rPr>
              <w:t>Env</w:t>
            </w:r>
          </w:p>
        </w:tc>
        <w:tc>
          <w:tcPr>
            <w:tcW w:type="dxa" w:w="1425"/>
          </w:tcPr>
          <w:p>
            <w:pPr>
              <w:spacing w:after="20"/>
              <w:ind w:firstLine="0"/>
              <w:jc w:val="center"/>
            </w:pPr>
            <w:r/>
            <w:r>
              <w:rPr>
                <w:rFonts w:ascii="Times New Roman" w:hAnsi="Times New Roman"/>
                <w:sz w:val="16"/>
              </w:rPr>
              <w:t>compr.</w:t>
            </w:r>
          </w:p>
        </w:tc>
        <w:tc>
          <w:tcPr>
            <w:tcW w:type="dxa" w:w="1425"/>
          </w:tcPr>
          <w:p>
            <w:pPr>
              <w:spacing w:after="20"/>
              <w:ind w:firstLine="0"/>
              <w:jc w:val="center"/>
            </w:pPr>
            <w:r/>
            <w:r>
              <w:rPr>
                <w:rFonts w:ascii="Times New Roman" w:hAnsi="Times New Roman"/>
                <w:sz w:val="16"/>
              </w:rPr>
              <w:t>0.206±0.128</w:t>
            </w:r>
          </w:p>
        </w:tc>
        <w:tc>
          <w:tcPr>
            <w:tcW w:type="dxa" w:w="1425"/>
          </w:tcPr>
          <w:p>
            <w:pPr>
              <w:spacing w:after="20"/>
              <w:ind w:firstLine="0"/>
              <w:jc w:val="center"/>
            </w:pPr>
            <w:r/>
            <w:r>
              <w:rPr>
                <w:rFonts w:ascii="Times New Roman" w:hAnsi="Times New Roman"/>
                <w:sz w:val="16"/>
              </w:rPr>
              <w:t>0.794</w:t>
            </w:r>
          </w:p>
        </w:tc>
        <w:tc>
          <w:tcPr>
            <w:tcW w:type="dxa" w:w="1425"/>
          </w:tcPr>
          <w:p>
            <w:pPr>
              <w:spacing w:after="20"/>
              <w:ind w:firstLine="0"/>
              <w:jc w:val="center"/>
            </w:pPr>
            <w:r/>
            <w:r>
              <w:rPr>
                <w:rFonts w:ascii="Times New Roman" w:hAnsi="Times New Roman"/>
                <w:sz w:val="16"/>
              </w:rPr>
              <w:t>0.02</w:t>
            </w:r>
          </w:p>
        </w:tc>
        <w:tc>
          <w:tcPr>
            <w:tcW w:type="dxa" w:w="1425"/>
          </w:tcPr>
          <w:p>
            <w:pPr>
              <w:spacing w:after="20"/>
              <w:ind w:firstLine="0"/>
              <w:jc w:val="center"/>
            </w:pPr>
            <w:r/>
            <w:r>
              <w:rPr>
                <w:rFonts w:ascii="Times New Roman" w:hAnsi="Times New Roman"/>
                <w:sz w:val="16"/>
              </w:rPr>
              <w:t>+0.49 h</w:t>
            </w:r>
          </w:p>
        </w:tc>
        <w:tc>
          <w:tcPr>
            <w:tcW w:type="dxa" w:w="1425"/>
          </w:tcPr>
          <w:p>
            <w:pPr>
              <w:spacing w:after="20"/>
              <w:ind w:firstLine="0"/>
              <w:jc w:val="center"/>
            </w:pPr>
            <w:r/>
            <w:r>
              <w:rPr>
                <w:rFonts w:ascii="Times New Roman" w:hAnsi="Times New Roman"/>
                <w:sz w:val="16"/>
              </w:rPr>
              <w:t>1.5</w:t>
            </w:r>
          </w:p>
        </w:tc>
      </w:tr>
      <w:tr>
        <w:tc>
          <w:tcPr>
            <w:tcW w:type="dxa" w:w="1425"/>
          </w:tcPr>
          <w:p>
            <w:pPr>
              <w:spacing w:after="20"/>
              <w:ind w:firstLine="0"/>
              <w:jc w:val="center"/>
            </w:pPr>
            <w:r/>
            <w:r>
              <w:rPr>
                <w:rFonts w:ascii="Times New Roman" w:hAnsi="Times New Roman"/>
                <w:sz w:val="16"/>
              </w:rPr>
              <w:t>Env</w:t>
            </w:r>
          </w:p>
        </w:tc>
        <w:tc>
          <w:tcPr>
            <w:tcW w:type="dxa" w:w="1425"/>
          </w:tcPr>
          <w:p>
            <w:pPr>
              <w:spacing w:after="20"/>
              <w:ind w:firstLine="0"/>
              <w:jc w:val="center"/>
            </w:pPr>
            <w:r/>
            <w:r>
              <w:rPr>
                <w:rFonts w:ascii="Times New Roman" w:hAnsi="Times New Roman"/>
                <w:sz w:val="16"/>
              </w:rPr>
              <w:t>event</w:t>
            </w:r>
          </w:p>
        </w:tc>
        <w:tc>
          <w:tcPr>
            <w:tcW w:type="dxa" w:w="1425"/>
          </w:tcPr>
          <w:p>
            <w:pPr>
              <w:spacing w:after="20"/>
              <w:ind w:firstLine="0"/>
              <w:jc w:val="center"/>
            </w:pPr>
            <w:r/>
            <w:r>
              <w:rPr>
                <w:rFonts w:ascii="Times New Roman" w:hAnsi="Times New Roman"/>
                <w:sz w:val="16"/>
              </w:rPr>
              <w:t>0.657±0.087</w:t>
            </w:r>
          </w:p>
        </w:tc>
        <w:tc>
          <w:tcPr>
            <w:tcW w:type="dxa" w:w="1425"/>
          </w:tcPr>
          <w:p>
            <w:pPr>
              <w:spacing w:after="20"/>
              <w:ind w:firstLine="0"/>
              <w:jc w:val="center"/>
            </w:pPr>
            <w:r/>
            <w:r>
              <w:rPr>
                <w:rFonts w:ascii="Times New Roman" w:hAnsi="Times New Roman"/>
                <w:sz w:val="16"/>
              </w:rPr>
              <w:t>0.343</w:t>
            </w:r>
          </w:p>
        </w:tc>
        <w:tc>
          <w:tcPr>
            <w:tcW w:type="dxa" w:w="1425"/>
          </w:tcPr>
          <w:p>
            <w:pPr>
              <w:spacing w:after="20"/>
              <w:ind w:firstLine="0"/>
              <w:jc w:val="center"/>
            </w:pPr>
            <w:r/>
            <w:r>
              <w:rPr>
                <w:rFonts w:ascii="Times New Roman" w:hAnsi="Times New Roman"/>
                <w:sz w:val="16"/>
              </w:rPr>
              <w:t>0.00</w:t>
            </w:r>
          </w:p>
        </w:tc>
        <w:tc>
          <w:tcPr>
            <w:tcW w:type="dxa" w:w="1425"/>
          </w:tcPr>
          <w:p>
            <w:pPr>
              <w:spacing w:after="20"/>
              <w:ind w:firstLine="0"/>
              <w:jc w:val="center"/>
            </w:pPr>
            <w:r/>
            <w:r>
              <w:rPr>
                <w:rFonts w:ascii="Times New Roman" w:hAnsi="Times New Roman"/>
                <w:sz w:val="16"/>
              </w:rPr>
              <w:t>+0.54 h</w:t>
            </w:r>
          </w:p>
        </w:tc>
        <w:tc>
          <w:tcPr>
            <w:tcW w:type="dxa" w:w="1425"/>
          </w:tcPr>
          <w:p>
            <w:pPr>
              <w:spacing w:after="20"/>
              <w:ind w:firstLine="0"/>
              <w:jc w:val="center"/>
            </w:pPr>
            <w:r/>
            <w:r>
              <w:rPr>
                <w:rFonts w:ascii="Times New Roman" w:hAnsi="Times New Roman"/>
                <w:sz w:val="16"/>
              </w:rPr>
              <w:t>83.5</w:t>
            </w:r>
          </w:p>
        </w:tc>
      </w:tr>
      <w:tr>
        <w:tc>
          <w:tcPr>
            <w:tcW w:type="dxa" w:w="1425"/>
          </w:tcPr>
          <w:p>
            <w:pPr>
              <w:spacing w:after="20"/>
              <w:ind w:firstLine="0"/>
              <w:jc w:val="center"/>
            </w:pPr>
            <w:r/>
            <w:r>
              <w:rPr>
                <w:rFonts w:ascii="Times New Roman" w:hAnsi="Times New Roman"/>
                <w:sz w:val="16"/>
              </w:rPr>
              <w:t>Env</w:t>
            </w:r>
          </w:p>
        </w:tc>
        <w:tc>
          <w:tcPr>
            <w:tcW w:type="dxa" w:w="1425"/>
          </w:tcPr>
          <w:p>
            <w:pPr>
              <w:spacing w:after="20"/>
              <w:ind w:firstLine="0"/>
              <w:jc w:val="center"/>
            </w:pPr>
            <w:r/>
            <w:r>
              <w:rPr>
                <w:rFonts w:ascii="Times New Roman" w:hAnsi="Times New Roman"/>
                <w:sz w:val="16"/>
              </w:rPr>
              <w:t>semantic</w:t>
            </w:r>
          </w:p>
        </w:tc>
        <w:tc>
          <w:tcPr>
            <w:tcW w:type="dxa" w:w="1425"/>
          </w:tcPr>
          <w:p>
            <w:pPr>
              <w:spacing w:after="20"/>
              <w:ind w:firstLine="0"/>
              <w:jc w:val="center"/>
            </w:pPr>
            <w:r/>
            <w:r>
              <w:rPr>
                <w:rFonts w:ascii="Times New Roman" w:hAnsi="Times New Roman"/>
                <w:sz w:val="16"/>
              </w:rPr>
              <w:t>0.928±0.068</w:t>
            </w:r>
          </w:p>
        </w:tc>
        <w:tc>
          <w:tcPr>
            <w:tcW w:type="dxa" w:w="1425"/>
          </w:tcPr>
          <w:p>
            <w:pPr>
              <w:spacing w:after="20"/>
              <w:ind w:firstLine="0"/>
              <w:jc w:val="center"/>
            </w:pPr>
            <w:r/>
            <w:r>
              <w:rPr>
                <w:rFonts w:ascii="Times New Roman" w:hAnsi="Times New Roman"/>
                <w:sz w:val="16"/>
              </w:rPr>
              <w:t>0.072</w:t>
            </w:r>
          </w:p>
        </w:tc>
        <w:tc>
          <w:tcPr>
            <w:tcW w:type="dxa" w:w="1425"/>
          </w:tcPr>
          <w:p>
            <w:pPr>
              <w:spacing w:after="20"/>
              <w:ind w:firstLine="0"/>
              <w:jc w:val="center"/>
            </w:pPr>
            <w:r/>
            <w:r>
              <w:rPr>
                <w:rFonts w:ascii="Times New Roman" w:hAnsi="Times New Roman"/>
                <w:sz w:val="16"/>
              </w:rPr>
              <w:t>0.03±0.07</w:t>
            </w:r>
          </w:p>
        </w:tc>
        <w:tc>
          <w:tcPr>
            <w:tcW w:type="dxa" w:w="1425"/>
          </w:tcPr>
          <w:p>
            <w:pPr>
              <w:spacing w:after="20"/>
              <w:ind w:firstLine="0"/>
              <w:jc w:val="center"/>
            </w:pPr>
            <w:r/>
            <w:r>
              <w:rPr>
                <w:rFonts w:ascii="Times New Roman" w:hAnsi="Times New Roman"/>
                <w:sz w:val="16"/>
              </w:rPr>
              <w:t>+0.51 h</w:t>
            </w:r>
          </w:p>
        </w:tc>
        <w:tc>
          <w:tcPr>
            <w:tcW w:type="dxa" w:w="1425"/>
          </w:tcPr>
          <w:p>
            <w:pPr>
              <w:spacing w:after="20"/>
              <w:ind w:firstLine="0"/>
              <w:jc w:val="center"/>
            </w:pPr>
            <w:r/>
            <w:r>
              <w:rPr>
                <w:rFonts w:ascii="Times New Roman" w:hAnsi="Times New Roman"/>
                <w:sz w:val="16"/>
              </w:rPr>
              <w:t>104.6</w:t>
            </w:r>
          </w:p>
        </w:tc>
      </w:tr>
    </w:tbl>
    <w:p>
      <w:pPr>
        <w:spacing w:after="40"/>
      </w:pPr>
    </w:p>
    <w:p>
      <w:pPr>
        <w:sectPr>
          <w:type w:val="continuous"/>
          <w:pgSz w:w="12240" w:h="15840"/>
          <w:pgMar w:top="1417" w:right="1134" w:bottom="1417" w:left="1134" w:header="680" w:footer="680" w:gutter="0"/>
          <w:cols w:space="340" w:num="1"/>
          <w:docGrid w:linePitch="360"/>
        </w:sectPr>
      </w:pPr>
    </w:p>
    <w:p>
      <w:pPr>
        <w:spacing w:before="120" w:after="0"/>
        <w:ind w:firstLine="0"/>
        <w:jc w:val="center"/>
      </w:pPr>
      <w:r>
        <w:drawing>
          <wp:inline xmlns:a="http://schemas.openxmlformats.org/drawingml/2006/main" xmlns:pic="http://schemas.openxmlformats.org/drawingml/2006/picture">
            <wp:extent cx="3054096" cy="1961084"/>
            <wp:docPr id="6" name="Picture 6"/>
            <wp:cNvGraphicFramePr>
              <a:graphicFrameLocks noChangeAspect="1"/>
            </wp:cNvGraphicFramePr>
            <a:graphic>
              <a:graphicData uri="http://schemas.openxmlformats.org/drawingml/2006/picture">
                <pic:pic>
                  <pic:nvPicPr>
                    <pic:cNvPr id="0" name="fig3a_quality_vs_resource_agri.png"/>
                    <pic:cNvPicPr/>
                  </pic:nvPicPr>
                  <pic:blipFill>
                    <a:blip r:embed="rId14"/>
                    <a:stretch>
                      <a:fillRect/>
                    </a:stretch>
                  </pic:blipFill>
                  <pic:spPr>
                    <a:xfrm>
                      <a:off x="0" y="0"/>
                      <a:ext cx="3054096" cy="1961084"/>
                    </a:xfrm>
                    <a:prstGeom prst="rect"/>
                  </pic:spPr>
                </pic:pic>
              </a:graphicData>
            </a:graphic>
          </wp:inline>
        </w:drawing>
      </w:r>
    </w:p>
    <w:p>
      <w:pPr>
        <w:spacing w:before="120" w:after="120"/>
        <w:ind w:firstLine="0"/>
        <w:jc w:val="center"/>
      </w:pPr>
      <w:r>
        <w:rPr>
          <w:rFonts w:ascii="Times New Roman" w:hAnsi="Times New Roman"/>
          <w:sz w:val="16"/>
        </w:rPr>
        <w:t>Figure 6. Task quality versus radio resource (irrigation): semantic reporting matches raw recall (1.000) at 19.6× less airtime; GTO = 19.6×.</w:t>
      </w:r>
    </w:p>
    <w:p>
      <w:pPr>
        <w:spacing w:before="120" w:after="0"/>
        <w:ind w:firstLine="0"/>
        <w:jc w:val="center"/>
      </w:pPr>
      <w:r>
        <w:drawing>
          <wp:inline xmlns:a="http://schemas.openxmlformats.org/drawingml/2006/main" xmlns:pic="http://schemas.openxmlformats.org/drawingml/2006/picture">
            <wp:extent cx="3054096" cy="1961084"/>
            <wp:docPr id="7" name="Picture 7"/>
            <wp:cNvGraphicFramePr>
              <a:graphicFrameLocks noChangeAspect="1"/>
            </wp:cNvGraphicFramePr>
            <a:graphic>
              <a:graphicData uri="http://schemas.openxmlformats.org/drawingml/2006/picture">
                <pic:pic>
                  <pic:nvPicPr>
                    <pic:cNvPr id="0" name="fig3b_quality_vs_resource_env.png"/>
                    <pic:cNvPicPr/>
                  </pic:nvPicPr>
                  <pic:blipFill>
                    <a:blip r:embed="rId15"/>
                    <a:stretch>
                      <a:fillRect/>
                    </a:stretch>
                  </pic:blipFill>
                  <pic:spPr>
                    <a:xfrm>
                      <a:off x="0" y="0"/>
                      <a:ext cx="3054096" cy="1961084"/>
                    </a:xfrm>
                    <a:prstGeom prst="rect"/>
                  </pic:spPr>
                </pic:pic>
              </a:graphicData>
            </a:graphic>
          </wp:inline>
        </w:drawing>
      </w:r>
    </w:p>
    <w:p>
      <w:pPr>
        <w:spacing w:before="120" w:after="120"/>
        <w:ind w:firstLine="0"/>
        <w:jc w:val="center"/>
      </w:pPr>
      <w:r>
        <w:rPr>
          <w:rFonts w:ascii="Times New Roman" w:hAnsi="Times New Roman"/>
          <w:sz w:val="16"/>
        </w:rPr>
        <w:t>Figure 7. Task quality versus radio resource (flood warning): semantic recall 0.928 versus 0.157 for raw at 19.4× less airtime; GTO = 104.6× (large because the raw baseline collapses).</w:t>
      </w:r>
    </w:p>
    <w:p>
      <w:pPr>
        <w:pStyle w:val="Heading2"/>
      </w:pPr>
      <w:r>
        <w:t>D. Energy</w:t>
      </w:r>
    </w:p>
    <w:p>
      <w:pPr>
        <w:spacing w:before="0" w:after="0"/>
        <w:ind w:firstLine="200"/>
      </w:pPr>
      <w:r>
        <w:rPr>
          <w:rFonts w:ascii="Times New Roman" w:hAnsi="Times New Roman"/>
          <w:i w:val="0"/>
          <w:sz w:val="20"/>
        </w:rPr>
        <w:t>Per device over 90 days at 100 devices per beam (Table III), semantic reporting consumes 286 J (agriculture) and 374 J (environment) versus 28,275 J and 28,310 J for raw periodic—net savings of 99.0% and 98.7%. Raw-mode energy is dominated by access retries under congestion (about 25.8 kJ, the retry storm); semantic-mode energy is dominated by idle listening (117 J) plus sensing and inference. The 99% figure is load-dependent: at uncongested load the saving from fewer transmissions alone is about 95% (Fig. 8). Device-side intelligence remains beneficial for inference costs up to about 300 mJ (agriculture) and 100 mJ (environment) per decision—orders of magnitude above the modeled 0.1–1 mJ and the 0.54–0.92 mJ hardware anchor [22]. All energy values are modeled, not measured on hardware.</w:t>
      </w:r>
    </w:p>
    <w:p>
      <w:pPr>
        <w:sectPr>
          <w:type w:val="continuous"/>
          <w:pgSz w:w="12240" w:h="15840"/>
          <w:pgMar w:top="1417" w:right="1134" w:bottom="1417" w:left="1134" w:header="680" w:footer="680" w:gutter="0"/>
          <w:cols w:space="340" w:num="2"/>
          <w:docGrid w:linePitch="360"/>
        </w:sectPr>
      </w:pPr>
    </w:p>
    <w:p>
      <w:pPr>
        <w:spacing w:before="120" w:after="80"/>
        <w:ind w:firstLine="0"/>
        <w:jc w:val="center"/>
      </w:pPr>
      <w:r>
        <w:rPr>
          <w:rFonts w:ascii="Times New Roman" w:hAnsi="Times New Roman"/>
          <w:sz w:val="16"/>
        </w:rPr>
        <w:t>TABLE III. DEVICE ENERGY PER 90 DAYS AT 100 DEVICES/BEAM (MODELED NB-IOT-CLASS FIGURES)</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tcPr>
          <w:p>
            <w:pPr>
              <w:spacing w:after="20"/>
              <w:ind w:firstLine="0"/>
              <w:jc w:val="center"/>
            </w:pPr>
            <w:r/>
            <w:r>
              <w:rPr>
                <w:rFonts w:ascii="Times New Roman" w:hAnsi="Times New Roman"/>
                <w:b/>
                <w:sz w:val="16"/>
              </w:rPr>
              <w:t>App</w:t>
            </w:r>
          </w:p>
        </w:tc>
        <w:tc>
          <w:tcPr>
            <w:tcW w:type="dxa" w:w="1662"/>
          </w:tcPr>
          <w:p>
            <w:pPr>
              <w:spacing w:after="20"/>
              <w:ind w:firstLine="0"/>
              <w:jc w:val="center"/>
            </w:pPr>
            <w:r/>
            <w:r>
              <w:rPr>
                <w:rFonts w:ascii="Times New Roman" w:hAnsi="Times New Roman"/>
                <w:b/>
                <w:sz w:val="16"/>
              </w:rPr>
              <w:t>Raw</w:t>
            </w:r>
          </w:p>
        </w:tc>
        <w:tc>
          <w:tcPr>
            <w:tcW w:type="dxa" w:w="1662"/>
          </w:tcPr>
          <w:p>
            <w:pPr>
              <w:spacing w:after="20"/>
              <w:ind w:firstLine="0"/>
              <w:jc w:val="center"/>
            </w:pPr>
            <w:r/>
            <w:r>
              <w:rPr>
                <w:rFonts w:ascii="Times New Roman" w:hAnsi="Times New Roman"/>
                <w:b/>
                <w:sz w:val="16"/>
              </w:rPr>
              <w:t>Compr.</w:t>
            </w:r>
          </w:p>
        </w:tc>
        <w:tc>
          <w:tcPr>
            <w:tcW w:type="dxa" w:w="1662"/>
          </w:tcPr>
          <w:p>
            <w:pPr>
              <w:spacing w:after="20"/>
              <w:ind w:firstLine="0"/>
              <w:jc w:val="center"/>
            </w:pPr>
            <w:r/>
            <w:r>
              <w:rPr>
                <w:rFonts w:ascii="Times New Roman" w:hAnsi="Times New Roman"/>
                <w:b/>
                <w:sz w:val="16"/>
              </w:rPr>
              <w:t>Event</w:t>
            </w:r>
          </w:p>
        </w:tc>
        <w:tc>
          <w:tcPr>
            <w:tcW w:type="dxa" w:w="1662"/>
          </w:tcPr>
          <w:p>
            <w:pPr>
              <w:spacing w:after="20"/>
              <w:ind w:firstLine="0"/>
              <w:jc w:val="center"/>
            </w:pPr>
            <w:r/>
            <w:r>
              <w:rPr>
                <w:rFonts w:ascii="Times New Roman" w:hAnsi="Times New Roman"/>
                <w:b/>
                <w:sz w:val="16"/>
              </w:rPr>
              <w:t>Semantic</w:t>
            </w:r>
          </w:p>
        </w:tc>
        <w:tc>
          <w:tcPr>
            <w:tcW w:type="dxa" w:w="1662"/>
          </w:tcPr>
          <w:p>
            <w:pPr>
              <w:spacing w:after="20"/>
              <w:ind w:firstLine="0"/>
              <w:jc w:val="center"/>
            </w:pPr>
            <w:r/>
            <w:r>
              <w:rPr>
                <w:rFonts w:ascii="Times New Roman" w:hAnsi="Times New Roman"/>
                <w:b/>
                <w:sz w:val="16"/>
              </w:rPr>
              <w:t>Saving</w:t>
            </w:r>
          </w:p>
        </w:tc>
      </w:tr>
      <w:tr>
        <w:tc>
          <w:tcPr>
            <w:tcW w:type="dxa" w:w="1662"/>
          </w:tcPr>
          <w:p>
            <w:pPr>
              <w:spacing w:after="20"/>
              <w:ind w:firstLine="0"/>
              <w:jc w:val="center"/>
            </w:pPr>
            <w:r/>
            <w:r>
              <w:rPr>
                <w:rFonts w:ascii="Times New Roman" w:hAnsi="Times New Roman"/>
                <w:sz w:val="16"/>
              </w:rPr>
              <w:t>Agri</w:t>
            </w:r>
          </w:p>
        </w:tc>
        <w:tc>
          <w:tcPr>
            <w:tcW w:type="dxa" w:w="1662"/>
          </w:tcPr>
          <w:p>
            <w:pPr>
              <w:spacing w:after="20"/>
              <w:ind w:firstLine="0"/>
              <w:jc w:val="center"/>
            </w:pPr>
            <w:r/>
            <w:r>
              <w:rPr>
                <w:rFonts w:ascii="Times New Roman" w:hAnsi="Times New Roman"/>
                <w:sz w:val="16"/>
              </w:rPr>
              <w:t>28,275 J</w:t>
            </w:r>
          </w:p>
        </w:tc>
        <w:tc>
          <w:tcPr>
            <w:tcW w:type="dxa" w:w="1662"/>
          </w:tcPr>
          <w:p>
            <w:pPr>
              <w:spacing w:after="20"/>
              <w:ind w:firstLine="0"/>
              <w:jc w:val="center"/>
            </w:pPr>
            <w:r/>
            <w:r>
              <w:rPr>
                <w:rFonts w:ascii="Times New Roman" w:hAnsi="Times New Roman"/>
                <w:sz w:val="16"/>
              </w:rPr>
              <w:t>27,197 J</w:t>
            </w:r>
          </w:p>
        </w:tc>
        <w:tc>
          <w:tcPr>
            <w:tcW w:type="dxa" w:w="1662"/>
          </w:tcPr>
          <w:p>
            <w:pPr>
              <w:spacing w:after="20"/>
              <w:ind w:firstLine="0"/>
              <w:jc w:val="center"/>
            </w:pPr>
            <w:r/>
            <w:r>
              <w:rPr>
                <w:rFonts w:ascii="Times New Roman" w:hAnsi="Times New Roman"/>
                <w:sz w:val="16"/>
              </w:rPr>
              <w:t>1,566 J</w:t>
            </w:r>
          </w:p>
        </w:tc>
        <w:tc>
          <w:tcPr>
            <w:tcW w:type="dxa" w:w="1662"/>
          </w:tcPr>
          <w:p>
            <w:pPr>
              <w:spacing w:after="20"/>
              <w:ind w:firstLine="0"/>
              <w:jc w:val="center"/>
            </w:pPr>
            <w:r/>
            <w:r>
              <w:rPr>
                <w:rFonts w:ascii="Times New Roman" w:hAnsi="Times New Roman"/>
                <w:sz w:val="16"/>
              </w:rPr>
              <w:t>286 J</w:t>
            </w:r>
          </w:p>
        </w:tc>
        <w:tc>
          <w:tcPr>
            <w:tcW w:type="dxa" w:w="1662"/>
          </w:tcPr>
          <w:p>
            <w:pPr>
              <w:spacing w:after="20"/>
              <w:ind w:firstLine="0"/>
              <w:jc w:val="center"/>
            </w:pPr>
            <w:r/>
            <w:r>
              <w:rPr>
                <w:rFonts w:ascii="Times New Roman" w:hAnsi="Times New Roman"/>
                <w:sz w:val="16"/>
              </w:rPr>
              <w:t>99.0%</w:t>
            </w:r>
          </w:p>
        </w:tc>
      </w:tr>
      <w:tr>
        <w:tc>
          <w:tcPr>
            <w:tcW w:type="dxa" w:w="1662"/>
          </w:tcPr>
          <w:p>
            <w:pPr>
              <w:spacing w:after="20"/>
              <w:ind w:firstLine="0"/>
              <w:jc w:val="center"/>
            </w:pPr>
            <w:r/>
            <w:r>
              <w:rPr>
                <w:rFonts w:ascii="Times New Roman" w:hAnsi="Times New Roman"/>
                <w:sz w:val="16"/>
              </w:rPr>
              <w:t>Env</w:t>
            </w:r>
          </w:p>
        </w:tc>
        <w:tc>
          <w:tcPr>
            <w:tcW w:type="dxa" w:w="1662"/>
          </w:tcPr>
          <w:p>
            <w:pPr>
              <w:spacing w:after="20"/>
              <w:ind w:firstLine="0"/>
              <w:jc w:val="center"/>
            </w:pPr>
            <w:r/>
            <w:r>
              <w:rPr>
                <w:rFonts w:ascii="Times New Roman" w:hAnsi="Times New Roman"/>
                <w:sz w:val="16"/>
              </w:rPr>
              <w:t>28,310 J</w:t>
            </w:r>
          </w:p>
        </w:tc>
        <w:tc>
          <w:tcPr>
            <w:tcW w:type="dxa" w:w="1662"/>
          </w:tcPr>
          <w:p>
            <w:pPr>
              <w:spacing w:after="20"/>
              <w:ind w:firstLine="0"/>
              <w:jc w:val="center"/>
            </w:pPr>
            <w:r/>
            <w:r>
              <w:rPr>
                <w:rFonts w:ascii="Times New Roman" w:hAnsi="Times New Roman"/>
                <w:sz w:val="16"/>
              </w:rPr>
              <w:t>27,240 J</w:t>
            </w:r>
          </w:p>
        </w:tc>
        <w:tc>
          <w:tcPr>
            <w:tcW w:type="dxa" w:w="1662"/>
          </w:tcPr>
          <w:p>
            <w:pPr>
              <w:spacing w:after="20"/>
              <w:ind w:firstLine="0"/>
              <w:jc w:val="center"/>
            </w:pPr>
            <w:r/>
            <w:r>
              <w:rPr>
                <w:rFonts w:ascii="Times New Roman" w:hAnsi="Times New Roman"/>
                <w:sz w:val="16"/>
              </w:rPr>
              <w:t>291 J</w:t>
            </w:r>
          </w:p>
        </w:tc>
        <w:tc>
          <w:tcPr>
            <w:tcW w:type="dxa" w:w="1662"/>
          </w:tcPr>
          <w:p>
            <w:pPr>
              <w:spacing w:after="20"/>
              <w:ind w:firstLine="0"/>
              <w:jc w:val="center"/>
            </w:pPr>
            <w:r/>
            <w:r>
              <w:rPr>
                <w:rFonts w:ascii="Times New Roman" w:hAnsi="Times New Roman"/>
                <w:sz w:val="16"/>
              </w:rPr>
              <w:t>374 J</w:t>
            </w:r>
          </w:p>
        </w:tc>
        <w:tc>
          <w:tcPr>
            <w:tcW w:type="dxa" w:w="1662"/>
          </w:tcPr>
          <w:p>
            <w:pPr>
              <w:spacing w:after="20"/>
              <w:ind w:firstLine="0"/>
              <w:jc w:val="center"/>
            </w:pPr>
            <w:r/>
            <w:r>
              <w:rPr>
                <w:rFonts w:ascii="Times New Roman" w:hAnsi="Times New Roman"/>
                <w:sz w:val="16"/>
              </w:rPr>
              <w:t>98.7%</w:t>
            </w:r>
          </w:p>
        </w:tc>
      </w:tr>
    </w:tbl>
    <w:p>
      <w:pPr>
        <w:spacing w:after="40"/>
      </w:pPr>
    </w:p>
    <w:p>
      <w:pPr>
        <w:sectPr>
          <w:type w:val="continuous"/>
          <w:pgSz w:w="12240" w:h="15840"/>
          <w:pgMar w:top="1417" w:right="1134" w:bottom="1417" w:left="1134" w:header="680" w:footer="680" w:gutter="0"/>
          <w:cols w:space="340" w:num="1"/>
          <w:docGrid w:linePitch="360"/>
        </w:sectPr>
      </w:pPr>
    </w:p>
    <w:p>
      <w:pPr>
        <w:spacing w:before="120" w:after="0"/>
        <w:ind w:firstLine="0"/>
        <w:jc w:val="center"/>
      </w:pPr>
      <w:r>
        <w:drawing>
          <wp:inline xmlns:a="http://schemas.openxmlformats.org/drawingml/2006/main" xmlns:pic="http://schemas.openxmlformats.org/drawingml/2006/picture">
            <wp:extent cx="3054096" cy="1165028"/>
            <wp:docPr id="8" name="Picture 8"/>
            <wp:cNvGraphicFramePr>
              <a:graphicFrameLocks noChangeAspect="1"/>
            </wp:cNvGraphicFramePr>
            <a:graphic>
              <a:graphicData uri="http://schemas.openxmlformats.org/drawingml/2006/picture">
                <pic:pic>
                  <pic:nvPicPr>
                    <pic:cNvPr id="0" name="fig5_energy.png"/>
                    <pic:cNvPicPr/>
                  </pic:nvPicPr>
                  <pic:blipFill>
                    <a:blip r:embed="rId16"/>
                    <a:stretch>
                      <a:fillRect/>
                    </a:stretch>
                  </pic:blipFill>
                  <pic:spPr>
                    <a:xfrm>
                      <a:off x="0" y="0"/>
                      <a:ext cx="3054096" cy="1165028"/>
                    </a:xfrm>
                    <a:prstGeom prst="rect"/>
                  </pic:spPr>
                </pic:pic>
              </a:graphicData>
            </a:graphic>
          </wp:inline>
        </w:drawing>
      </w:r>
    </w:p>
    <w:p>
      <w:pPr>
        <w:spacing w:before="120" w:after="120"/>
        <w:ind w:firstLine="0"/>
        <w:jc w:val="center"/>
      </w:pPr>
      <w:r>
        <w:rPr>
          <w:rFonts w:ascii="Times New Roman" w:hAnsi="Times New Roman"/>
          <w:sz w:val="16"/>
        </w:rPr>
        <w:t>Figure 8. Device energy per 90 days at 100 devices/beam: raw energy is dominated by access retries under congestion; semantic saves 99.0% (agriculture) and 98.7% (environment). Modeled figures.</w:t>
      </w:r>
    </w:p>
    <w:p>
      <w:pPr>
        <w:spacing w:before="120" w:after="0"/>
        <w:ind w:firstLine="0"/>
        <w:jc w:val="center"/>
      </w:pPr>
      <w:r>
        <w:drawing>
          <wp:inline xmlns:a="http://schemas.openxmlformats.org/drawingml/2006/main" xmlns:pic="http://schemas.openxmlformats.org/drawingml/2006/picture">
            <wp:extent cx="3054096" cy="1165028"/>
            <wp:docPr id="9" name="Picture 9"/>
            <wp:cNvGraphicFramePr>
              <a:graphicFrameLocks noChangeAspect="1"/>
            </wp:cNvGraphicFramePr>
            <a:graphic>
              <a:graphicData uri="http://schemas.openxmlformats.org/drawingml/2006/picture">
                <pic:pic>
                  <pic:nvPicPr>
                    <pic:cNvPr id="0" name="fig6_burst.png"/>
                    <pic:cNvPicPr/>
                  </pic:nvPicPr>
                  <pic:blipFill>
                    <a:blip r:embed="rId17"/>
                    <a:stretch>
                      <a:fillRect/>
                    </a:stretch>
                  </pic:blipFill>
                  <pic:spPr>
                    <a:xfrm>
                      <a:off x="0" y="0"/>
                      <a:ext cx="3054096" cy="1165028"/>
                    </a:xfrm>
                    <a:prstGeom prst="rect"/>
                  </pic:spPr>
                </pic:pic>
              </a:graphicData>
            </a:graphic>
          </wp:inline>
        </w:drawing>
      </w:r>
    </w:p>
    <w:p>
      <w:pPr>
        <w:spacing w:before="120" w:after="120"/>
        <w:ind w:firstLine="0"/>
        <w:jc w:val="center"/>
      </w:pPr>
      <w:r>
        <w:rPr>
          <w:rFonts w:ascii="Times New Roman" w:hAnsi="Times New Roman"/>
          <w:sz w:val="16"/>
        </w:rPr>
        <w:t>Figure 9. Correlated-burst robustness (5% of devices in one pass, 800 devices): irrigation semantic holds deadline success at 1.00; flood-warning semantic degrades 0.93 to 0.75.</w:t>
      </w:r>
    </w:p>
    <w:p>
      <w:pPr>
        <w:pStyle w:val="Heading2"/>
      </w:pPr>
      <w:r>
        <w:t>E. Drift and Threshold Adaptation</w:t>
      </w:r>
    </w:p>
    <w:p>
      <w:pPr>
        <w:spacing w:before="0" w:after="0"/>
        <w:ind w:firstLine="200"/>
      </w:pPr>
      <w:r>
        <w:rPr>
          <w:rFonts w:ascii="Times New Roman" w:hAnsi="Times New Roman"/>
          <w:i w:val="0"/>
          <w:sz w:val="20"/>
        </w:rPr>
        <w:t>Thresholds tuned on dry-season data only were evaluated on monsoon segments. For flood warnings the stale threshold degrades to recall 0.746 with 0.88 false alarms per week (the tuner, seeing zero flood examples, degenerately selected the most conservative offset); a single downlink threshold update restores recall 1.000 with 0.08 false alarms per week, matching the oracle tuned on full-season data, at negligible downlink cost. Irrigation thresholds generalize across seasons (dry-tuned performance equals full-tuned). The guarded update loop of Section III-D exists because of this failure mode, not in spite of it.</w:t>
      </w:r>
    </w:p>
    <w:p>
      <w:pPr>
        <w:pStyle w:val="Heading1"/>
      </w:pPr>
      <w:r>
        <w:t>VI. DISCUSSION AND FUTURE WORK</w:t>
      </w:r>
    </w:p>
    <w:p>
      <w:pPr>
        <w:spacing w:before="0" w:after="0"/>
        <w:ind w:firstLine="200"/>
      </w:pPr>
      <w:r>
        <w:rPr>
          <w:rFonts w:ascii="Times New Roman" w:hAnsi="Times New Roman"/>
          <w:i w:val="0"/>
          <w:sz w:val="20"/>
        </w:rPr>
        <w:t>Every gain in Section V is bounded to its named application, trace generator, task constraint, modeled energy figures, access configuration, and load range; no universal percentage for massive Internet of Things over NTN is claimed [10], [12].</w:t>
      </w:r>
    </w:p>
    <w:p>
      <w:pPr>
        <w:spacing w:before="0" w:after="0"/>
        <w:ind w:firstLine="200"/>
      </w:pPr>
      <w:r>
        <w:rPr>
          <w:rFonts w:ascii="Times New Roman" w:hAnsi="Times New Roman"/>
          <w:i w:val="0"/>
          <w:sz w:val="20"/>
        </w:rPr>
        <w:t>The following extensions are the natural next steps. First, validating the evaluation on field sensor datasets—rainfall, soil-moisture, and river-level records—beyond the calibrated synthetic traces used here. Second, sweeping multiple constellations and link configurations beyond the single configured sparse low-Earth-orbit scenario. Third, modeling NTN-specific random access (NB-IoT NPRACH) in place of the slotted-ALOHA abstraction, and measuring energy on MCU-class hardware with NTN chipsets to complement the modeled NB-IoT-class figures. Fourth, heterogeneous device/receiver decision rules, since the present gain measures where and when information is sent rather than model superiority. Finally, alternative deadline and reliability operating points beyond the 6 h / 45 min deadlines and the 0.95 success criterion assumed here.</w:t>
      </w:r>
    </w:p>
    <w:p>
      <w:pPr>
        <w:spacing w:before="0" w:after="0"/>
        <w:ind w:firstLine="200"/>
      </w:pPr>
      <w:r>
        <w:rPr>
          <w:rFonts w:ascii="Times New Roman" w:hAnsi="Times New Roman"/>
          <w:i w:val="0"/>
          <w:sz w:val="20"/>
        </w:rPr>
        <w:t>Smart metering, industrial monitoring, and asset tracking were part of an earlier five-application framing and are condensed here to future work: metering must retain exact values for billing while outage and anomaly functions can use compact decisions; industrial monitoring can replace waveforms with fault features under stringent missed-fault limits; asset tracking needs mobility-adaptive reporting. Each requires its own task operating point and baselines before any mixed-beam conclusion.</w:t>
      </w:r>
    </w:p>
    <w:p>
      <w:pPr>
        <w:spacing w:before="0" w:after="0"/>
        <w:ind w:firstLine="200"/>
      </w:pPr>
      <w:r>
        <w:rPr>
          <w:rFonts w:ascii="Times New Roman" w:hAnsi="Times New Roman"/>
          <w:i w:val="0"/>
          <w:sz w:val="20"/>
        </w:rPr>
        <w:t>Sustainability is reported as energy per successful task, including inference, signaling, retransmission, and model-update distribution—not transmitter power alone; broader life-cycle claims require separate evidence.</w:t>
      </w:r>
    </w:p>
    <w:p>
      <w:pPr>
        <w:pStyle w:val="Heading1"/>
      </w:pPr>
      <w:r>
        <w:t>VII. CONCLUSION</w:t>
      </w:r>
    </w:p>
    <w:p>
      <w:pPr>
        <w:spacing w:before="0" w:after="0"/>
        <w:ind w:firstLine="200"/>
      </w:pPr>
      <w:r>
        <w:rPr>
          <w:rFonts w:ascii="Times New Roman" w:hAnsi="Times New Roman"/>
          <w:i w:val="0"/>
          <w:sz w:val="20"/>
        </w:rPr>
        <w:t>This paper replaced an illustrative framework with measured evidence: a three-stage, trace-driven evaluation of task-oriented semantic reporting for massive Internet of Things over non-terrestrial networks, narrowed to irrigation decisions and flood warnings with an India-oriented lens. The measured offered-byte gain of 42.6× decomposes into 18.9× report suppression and 2.25× payload shrinkage; supported devices per beam rise from 50 to 1,600 for irrigation, while periodic reporting cannot meet the flood-warning deadline at any modeled population; task-throughput-efficiency gains of 19.6× and 104.6× are achieved at matched or better task quality, with honest reporting of residual misses, timing error, congestion-amplified energy savings, and drift behavior. The results identify when semantic operation improves correct, timely task outcomes per unit of radio resource—sparse, deadline-critical event traffic under constrained access—and when raw-data fallback remains required. All claims are bounded to the evaluated applications, traces, models, and load ranges; the simulation package is released for independent reproduction.</w:t>
      </w:r>
    </w:p>
    <w:p>
      <w:pPr>
        <w:pStyle w:val="Heading1"/>
      </w:pPr>
      <w:r>
        <w:t>REFERENCES</w:t>
      </w:r>
    </w:p>
    <w:p>
      <w:pPr>
        <w:spacing w:after="40" w:before="0"/>
        <w:ind w:left="360" w:hanging="240"/>
        <w:jc w:val="left"/>
      </w:pPr>
      <w:r>
        <w:rPr>
          <w:rFonts w:ascii="Times New Roman" w:hAnsi="Times New Roman"/>
          <w:sz w:val="17"/>
        </w:rPr>
        <w:t>[1] 3GPP, “Study on Narrow-Band Internet of Things (NB-IoT)/enhanced Machine Type Communication (eMTC) support for Non-Terrestrial Networks (NTN),” TR 36.763, Rel. 17, 2021.</w:t>
      </w:r>
    </w:p>
    <w:p>
      <w:pPr>
        <w:spacing w:after="40" w:before="0"/>
        <w:ind w:left="360" w:hanging="240"/>
        <w:jc w:val="left"/>
      </w:pPr>
      <w:r>
        <w:rPr>
          <w:rFonts w:ascii="Times New Roman" w:hAnsi="Times New Roman"/>
          <w:sz w:val="17"/>
        </w:rPr>
        <w:t>[2] ITU-R, “Framework and overall objectives of the future development of IMT for 2030 and beyond,” Recommendation ITU-R M.2160-0, Nov. 2023.</w:t>
      </w:r>
    </w:p>
    <w:p>
      <w:pPr>
        <w:spacing w:after="40" w:before="0"/>
        <w:ind w:left="360" w:hanging="240"/>
        <w:jc w:val="left"/>
      </w:pPr>
      <w:r>
        <w:rPr>
          <w:rFonts w:ascii="Times New Roman" w:hAnsi="Times New Roman"/>
          <w:sz w:val="17"/>
        </w:rPr>
        <w:t>[3] ITU-R, “Future technology trends of terrestrial International Mobile Telecommunications systems towards 2030 and beyond,” Report ITU-R M.2516-0, Nov. 2022.</w:t>
      </w:r>
    </w:p>
    <w:p>
      <w:pPr>
        <w:spacing w:after="40" w:before="0"/>
        <w:ind w:left="360" w:hanging="240"/>
        <w:jc w:val="left"/>
      </w:pPr>
      <w:r>
        <w:rPr>
          <w:rFonts w:ascii="Times New Roman" w:hAnsi="Times New Roman"/>
          <w:sz w:val="17"/>
        </w:rPr>
        <w:t>[4] E. C. Strinati and S. Barbarossa, “6G networks: Beyond Shannon towards semantic and goal-oriented communications,” Computer Networks, vol. 190, Art. no. 107930, May 2021.</w:t>
      </w:r>
    </w:p>
    <w:p>
      <w:pPr>
        <w:spacing w:after="40" w:before="0"/>
        <w:ind w:left="360" w:hanging="240"/>
        <w:jc w:val="left"/>
      </w:pPr>
      <w:r>
        <w:rPr>
          <w:rFonts w:ascii="Times New Roman" w:hAnsi="Times New Roman"/>
          <w:sz w:val="17"/>
        </w:rPr>
        <w:t>[5] T. M. Getu, G. Kaddoum, and M. Bennis, “Making sense of meaning: A survey on metrics for semantic and goal-oriented communication,” IEEE Access, vol. 11, pp. 45456–45492, 2023.</w:t>
      </w:r>
    </w:p>
    <w:p>
      <w:pPr>
        <w:spacing w:after="40" w:before="0"/>
        <w:ind w:left="360" w:hanging="240"/>
        <w:jc w:val="left"/>
      </w:pPr>
      <w:r>
        <w:rPr>
          <w:rFonts w:ascii="Times New Roman" w:hAnsi="Times New Roman"/>
          <w:sz w:val="17"/>
        </w:rPr>
        <w:t>[6] E. Delfani and N. Pappas, “Semantics-aware updates from remote energy harvesting devices to interconnected LEO satellites,” IEEE Communications Letters, vol. 29, no. 8, pp. 1928–1932, Aug. 2025.</w:t>
      </w:r>
    </w:p>
    <w:p>
      <w:pPr>
        <w:spacing w:after="40" w:before="0"/>
        <w:ind w:left="360" w:hanging="240"/>
        <w:jc w:val="left"/>
      </w:pPr>
      <w:r>
        <w:rPr>
          <w:rFonts w:ascii="Times New Roman" w:hAnsi="Times New Roman"/>
          <w:sz w:val="17"/>
        </w:rPr>
        <w:t>[7] E. Delfani, A. Mesodiakaki, L. Tassiulas, and N. Pappas, “Semantics-aware unified terrestrial non-terrestrial 6G networks,” IEEE Communications Magazine, 2026, doi: 10.1109/MCOM.001.2500615.</w:t>
      </w:r>
    </w:p>
    <w:p>
      <w:pPr>
        <w:spacing w:after="40" w:before="0"/>
        <w:ind w:left="360" w:hanging="240"/>
        <w:jc w:val="left"/>
      </w:pPr>
      <w:r>
        <w:rPr>
          <w:rFonts w:ascii="Times New Roman" w:hAnsi="Times New Roman"/>
          <w:sz w:val="17"/>
        </w:rPr>
        <w:t>[8] E. Zeydan, L. Blanco, C. J. Vaca-Rubio, M. Caus, and K. Dev, “Semantic non-terrestrial communications with Open RAN-enabled 6G,” IEEE Communications Standards Magazine, vol. 9, no. 4, pp. 72–78, Dec. 2025.</w:t>
      </w:r>
    </w:p>
    <w:p>
      <w:pPr>
        <w:spacing w:after="40" w:before="0"/>
        <w:ind w:left="360" w:hanging="240"/>
        <w:jc w:val="left"/>
      </w:pPr>
      <w:r>
        <w:rPr>
          <w:rFonts w:ascii="Times New Roman" w:hAnsi="Times New Roman"/>
          <w:sz w:val="17"/>
        </w:rPr>
        <w:t>[9] L. X. Nguyen et al., “A contemporary survey on semantic communications: Theory of mind, generative AI, and deep joint source-channel coding,” IEEE Communications Surveys &amp; Tutorials, vol. 28, 2026.</w:t>
      </w:r>
    </w:p>
    <w:p>
      <w:pPr>
        <w:spacing w:after="40" w:before="0"/>
        <w:ind w:left="360" w:hanging="240"/>
        <w:jc w:val="left"/>
      </w:pPr>
      <w:r>
        <w:rPr>
          <w:rFonts w:ascii="Times New Roman" w:hAnsi="Times New Roman"/>
          <w:sz w:val="17"/>
        </w:rPr>
        <w:t>[10] D. Gündüz et al., “Beyond transmitting bits: Context, semantics, and task-oriented communications,” IEEE Journal on Selected Areas in Communications, vol. 41, no. 1, pp. 5–41, Jan. 2023.</w:t>
      </w:r>
    </w:p>
    <w:p>
      <w:pPr>
        <w:spacing w:after="40" w:before="0"/>
        <w:ind w:left="360" w:hanging="240"/>
        <w:jc w:val="left"/>
      </w:pPr>
      <w:r>
        <w:rPr>
          <w:rFonts w:ascii="Times New Roman" w:hAnsi="Times New Roman"/>
          <w:sz w:val="17"/>
        </w:rPr>
        <w:t>[11] G. Xin, P. Fan, and K. B. Letaief, “Semantic communication: A survey of its theoretical development,” Entropy, vol. 26, no. 2, Art. 102, 2024.</w:t>
      </w:r>
    </w:p>
    <w:p>
      <w:pPr>
        <w:spacing w:after="40" w:before="0"/>
        <w:ind w:left="360" w:hanging="240"/>
        <w:jc w:val="left"/>
      </w:pPr>
      <w:r>
        <w:rPr>
          <w:rFonts w:ascii="Times New Roman" w:hAnsi="Times New Roman"/>
          <w:sz w:val="17"/>
        </w:rPr>
        <w:t>[12] N. Tavakolian, H. Purmehdi, and J. Baek, “Rethinking communication metrics: How should we measure meaning?” arXiv:2608.21626, Aug. 2026.</w:t>
      </w:r>
    </w:p>
    <w:p>
      <w:pPr>
        <w:spacing w:after="40" w:before="0"/>
        <w:ind w:left="360" w:hanging="240"/>
        <w:jc w:val="left"/>
      </w:pPr>
      <w:r>
        <w:rPr>
          <w:rFonts w:ascii="Times New Roman" w:hAnsi="Times New Roman"/>
          <w:sz w:val="17"/>
        </w:rPr>
        <w:t>[13] F. Chiariotti, A. Munari, L. Badia, and P. Popovski, “Goal-oriented medium access with distributed belief processing,” in Proc. IEEE INFOCOM, 2025.</w:t>
      </w:r>
    </w:p>
    <w:p>
      <w:pPr>
        <w:spacing w:after="40" w:before="0"/>
        <w:ind w:left="360" w:hanging="240"/>
        <w:jc w:val="left"/>
      </w:pPr>
      <w:r>
        <w:rPr>
          <w:rFonts w:ascii="Times New Roman" w:hAnsi="Times New Roman"/>
          <w:sz w:val="17"/>
        </w:rPr>
        <w:t>[14] F. Minani et al., “QoSem-based resource allocation for semantic communication in NTN downlinks,” in Proc. IEEE GLOBECOM, 2024, pp. 2587–2592.</w:t>
      </w:r>
    </w:p>
    <w:p>
      <w:pPr>
        <w:spacing w:after="40" w:before="0"/>
        <w:ind w:left="360" w:hanging="240"/>
        <w:jc w:val="left"/>
      </w:pPr>
      <w:r>
        <w:rPr>
          <w:rFonts w:ascii="Times New Roman" w:hAnsi="Times New Roman"/>
          <w:sz w:val="17"/>
        </w:rPr>
        <w:t>[15] F. Minani et al., “Resource allocation for semantic communication in NTN downlinks,” IEEE Transactions on Cognitive Communications and Networking, 2025, doi: 10.1109/TCCN.2025.3558006.</w:t>
      </w:r>
    </w:p>
    <w:p>
      <w:pPr>
        <w:spacing w:after="40" w:before="0"/>
        <w:ind w:left="360" w:hanging="240"/>
        <w:jc w:val="left"/>
      </w:pPr>
      <w:r>
        <w:rPr>
          <w:rFonts w:ascii="Times New Roman" w:hAnsi="Times New Roman"/>
          <w:sz w:val="17"/>
        </w:rPr>
        <w:t>[16] H. Peng, Z. Zhang, Y. Liu, Z. Su, T. H. Luan, and N. Cheng, “Semantic communication in non-terrestrial networks: A future-ready paradigm,” IEEE Network, vol. 38, no. 4, pp. 119–127, Jul. 2024.</w:t>
      </w:r>
    </w:p>
    <w:p>
      <w:pPr>
        <w:spacing w:after="40" w:before="0"/>
        <w:ind w:left="360" w:hanging="240"/>
        <w:jc w:val="left"/>
      </w:pPr>
      <w:r>
        <w:rPr>
          <w:rFonts w:ascii="Times New Roman" w:hAnsi="Times New Roman"/>
          <w:sz w:val="17"/>
        </w:rPr>
        <w:t>[17] P. Agheli, N. Pappas, and M. Kountouris, “Semantic filtering and source coding in distributed wireless monitoring systems,” IEEE Transactions on Communications, vol. 72, no. 6, pp. 3290–3304, Jun. 2024.</w:t>
      </w:r>
    </w:p>
    <w:p>
      <w:pPr>
        <w:spacing w:after="40" w:before="0"/>
        <w:ind w:left="360" w:hanging="240"/>
        <w:jc w:val="left"/>
      </w:pPr>
      <w:r>
        <w:rPr>
          <w:rFonts w:ascii="Times New Roman" w:hAnsi="Times New Roman"/>
          <w:sz w:val="17"/>
        </w:rPr>
        <w:t>[18] V. Mannoni, V. Berg, S. Cazalens, and P. Raveneau, “System level evaluation for NB-IoT satellite communications,” in Proc. IEEE VTC2022-Spring, Helsinki, Jun. 2022, pp. 1–6.</w:t>
      </w:r>
    </w:p>
    <w:p>
      <w:pPr>
        <w:spacing w:after="40" w:before="0"/>
        <w:ind w:left="360" w:hanging="240"/>
        <w:jc w:val="left"/>
      </w:pPr>
      <w:r>
        <w:rPr>
          <w:rFonts w:ascii="Times New Roman" w:hAnsi="Times New Roman"/>
          <w:sz w:val="17"/>
        </w:rPr>
        <w:t>[19] D. Richter, “Practical performance analysis of NB-IoT across terrestrial and non-terrestrial networks,” Bachelor’s thesis, 2026 (field measurements, not peer-reviewed).</w:t>
      </w:r>
    </w:p>
    <w:p>
      <w:pPr>
        <w:spacing w:after="40" w:before="0"/>
        <w:ind w:left="360" w:hanging="240"/>
        <w:jc w:val="left"/>
      </w:pPr>
      <w:r>
        <w:rPr>
          <w:rFonts w:ascii="Times New Roman" w:hAnsi="Times New Roman"/>
          <w:sz w:val="17"/>
        </w:rPr>
        <w:t>[20] S. Górecki, S. Hausman, and P. Korbel, “Cross-layer energy management in embedded AIoT sensor networks: A structured review, full-cycle energy model, and break-even analysis,” Electronics, vol. 15, no. 17, Art. 4000, 2026.</w:t>
      </w:r>
    </w:p>
    <w:p>
      <w:pPr>
        <w:spacing w:after="40" w:before="0"/>
        <w:ind w:left="360" w:hanging="240"/>
        <w:jc w:val="left"/>
      </w:pPr>
      <w:r>
        <w:rPr>
          <w:rFonts w:ascii="Times New Roman" w:hAnsi="Times New Roman"/>
          <w:sz w:val="17"/>
        </w:rPr>
        <w:t>[21] X. Chen, C. Huang, G. Chen, D. Feng, and P. Xiao, “The communication and computation trade-off in wireless semantic communications,” IEEE Wireless Communications Letters, vol. 14, no. 7, pp. 2259–2263, Jul. 2025.</w:t>
      </w:r>
    </w:p>
    <w:p>
      <w:pPr>
        <w:spacing w:after="40" w:before="0"/>
        <w:ind w:left="360" w:hanging="240"/>
        <w:jc w:val="left"/>
      </w:pPr>
      <w:r>
        <w:rPr>
          <w:rFonts w:ascii="Times New Roman" w:hAnsi="Times New Roman"/>
          <w:sz w:val="17"/>
        </w:rPr>
        <w:t>[22] I. Lamaakal et al., “TinyHAR-UQ: Battery-aware, uncertainty-controlled tinyML for wearable activity recognition on IoT edge devices,” Internet of Things, vol. 36, Art. 101889, Mar. 2026.</w:t>
      </w:r>
    </w:p>
    <w:p>
      <w:pPr>
        <w:spacing w:after="40" w:before="0"/>
        <w:ind w:left="360" w:hanging="240"/>
        <w:jc w:val="left"/>
      </w:pPr>
      <w:r>
        <w:rPr>
          <w:rFonts w:ascii="Times New Roman" w:hAnsi="Times New Roman"/>
          <w:sz w:val="17"/>
        </w:rPr>
        <w:t>[23] S. Kaul, R. Yates, and M. Gruteser, “Real-time status: How often should one update?” in Proc. IEEE INFOCOM, 2012, pp. 2731–2735.</w:t>
      </w:r>
    </w:p>
    <w:p>
      <w:pPr>
        <w:spacing w:after="40" w:before="0"/>
        <w:ind w:left="360" w:hanging="240"/>
        <w:jc w:val="left"/>
      </w:pPr>
      <w:r>
        <w:rPr>
          <w:rFonts w:ascii="Times New Roman" w:hAnsi="Times New Roman"/>
          <w:sz w:val="17"/>
        </w:rPr>
        <w:t>[24] K. Taueatsoala et al., “TinyML-enabled IoT for sustainable precision irrigation,” arXiv:2601.13054 [cs.LG], Jan. 2026.</w:t>
      </w:r>
    </w:p>
    <w:p>
      <w:pPr>
        <w:spacing w:after="40" w:before="0"/>
        <w:ind w:left="360" w:hanging="240"/>
        <w:jc w:val="left"/>
      </w:pPr>
      <w:r>
        <w:rPr>
          <w:rFonts w:ascii="Times New Roman" w:hAnsi="Times New Roman"/>
          <w:sz w:val="17"/>
        </w:rPr>
        <w:t>[25] V. Wiangnak, M. Wiboonrat, and S. Duangsuwan, “Development of an AIoT-based early flash-flood warning system for smart rural disaster resilience,” Sensors, vol. 26, no. 11, Art. 3512, Jun. 2026.</w:t>
      </w:r>
    </w:p>
    <w:p>
      <w:pPr>
        <w:spacing w:after="40" w:before="0"/>
        <w:ind w:left="360" w:hanging="240"/>
        <w:jc w:val="left"/>
      </w:pPr>
      <w:r>
        <w:rPr>
          <w:rFonts w:ascii="Times New Roman" w:hAnsi="Times New Roman"/>
          <w:sz w:val="17"/>
        </w:rPr>
        <w:t>[26] K. J. Åström and B. Bernhardsson, “Comparison of Riemann and Lebesgue sampling for first order stochastic systems,” in Proc. IEEE CDC, 2002.</w:t>
      </w:r>
    </w:p>
    <w:sectPr w:rsidR="00FC693F" w:rsidRPr="0006063C" w:rsidSect="00034616">
      <w:type w:val="continuous"/>
      <w:pgSz w:w="12240" w:h="15840"/>
      <w:pgMar w:top="1417" w:right="1134" w:bottom="1417" w:left="1134" w:header="680" w:footer="68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240" w:lineRule="auto"/>
      <w:ind w:firstLine="200"/>
      <w:jc w:val="both"/>
    </w:pPr>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ind w:firstLine="0"/>
      <w:jc w:val="left"/>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0" w:after="120"/>
      <w:ind w:firstLine="0"/>
      <w:jc w:val="left"/>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0" w:after="120"/>
      <w:ind w:firstLine="0"/>
      <w:jc w:val="left"/>
      <w:outlineLvl w:val="2"/>
    </w:pPr>
    <w:rPr>
      <w:rFonts w:asciiTheme="majorHAnsi" w:eastAsiaTheme="majorEastAsia" w:hAnsiTheme="majorHAnsi" w:cstheme="majorBidi" w:ascii="Times New Roman" w:hAnsi="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