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主題：認識一貫道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一、從自己的心開始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（一）認識一貫道先回到生命本身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（二）人心需要真正安頓的方向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（三）良心善性是與道相遇的開始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二、道是人人本具的良心善性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（一）道不是名相，而是天理本性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（二）各教都提醒人回到本心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（三）修道是讓良心重新做主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三、一貫是回到共同的根本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（一）「吾道一以貫之」是一理貫通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（二）聖賢教化都指向本心本性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（三）一貫不是排他，而是回到根源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四、一貫道的傳承與慈悲普渡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（一）聖聖相傳的是心法慧命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（二）先天道到一貫道是一理相續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（三）白陽普渡重在先得後修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五、禮節與三寶讓心回來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（一）獻香叩首幫助收心感恩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（二）三寶指出生命回家的方向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（三）得道是開始，修道才是實行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六、一貫道的宗旨落在做人處事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（一）知恩感恩，敬天地、孝父母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（二）修身立品，改脾氣、去毛病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（三）真實考場在家庭與人事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（四）修道落實在每天的起心動念</w:t>
      </w:r>
    </w:p>
    <w:p>
      <w:pPr>
        <w:spacing w:before="0" w:after="10" w:line="260" w:lineRule="auto"/>
        <w:ind w:left="420"/>
      </w:pPr>
      <w:r>
        <w:rPr>
          <w:rFonts w:ascii="???" w:eastAsia="???" w:hAnsi="???" w:hint="eastAsia"/>
          <w:sz w:val="24"/>
          <w:szCs w:val="24"/>
        </w:rPr>
        <w:t>（五）從自己成全別人，讓人認識道</w:t>
      </w:r>
    </w:p>
    <w:sectPr>
      <w:pgSz w:w="11906" w:h="16838"/>
      <w:pgMar w:top="720" w:right="900" w:bottom="720" w:left="900" w:header="360" w:footer="360" w:gutter="0"/>
      <w:cols w:space="425"/>
      <w:docGrid w:type="lines" w:linePitch="2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line="260" w:lineRule="auto"/>
    </w:pPr>
    <w:rPr>
      <w:rFonts w:ascii="標楷體" w:eastAsia="標楷體" w:hAnsi="標楷體" w:hint="eastAsi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</dc:title>
  <dc:creator>Codex</dc:creator>
</cp:coreProperties>
</file>