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Master node:</w:t>
      </w:r>
      <w:r w:rsidDel="00000000" w:rsidR="00000000" w:rsidRPr="00000000">
        <w:rPr>
          <w:sz w:val="20"/>
          <w:szCs w:val="20"/>
          <w:rtl w:val="0"/>
        </w:rPr>
        <w:t xml:space="preserve"> Each cluster has a master node, which can be replaced in case of failures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Master eligible node:</w:t>
      </w:r>
      <w:r w:rsidDel="00000000" w:rsidR="00000000" w:rsidRPr="00000000">
        <w:rPr>
          <w:sz w:val="20"/>
          <w:szCs w:val="20"/>
          <w:rtl w:val="0"/>
        </w:rPr>
        <w:t xml:space="preserve"> Every node except those, which have “node.master:false”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Best config:</w:t>
      </w:r>
      <w:r w:rsidDel="00000000" w:rsidR="00000000" w:rsidRPr="00000000">
        <w:rPr>
          <w:sz w:val="20"/>
          <w:szCs w:val="20"/>
          <w:rtl w:val="0"/>
        </w:rPr>
        <w:t xml:space="preserve">     node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master</w:t>
      </w:r>
      <w:r w:rsidDel="00000000" w:rsidR="00000000" w:rsidRPr="00000000">
        <w:rPr>
          <w:sz w:val="20"/>
          <w:szCs w:val="20"/>
          <w:rtl w:val="0"/>
        </w:rPr>
        <w:t xml:space="preserve">: true</w:t>
      </w:r>
      <w:r w:rsidDel="00000000" w:rsidR="00000000" w:rsidRPr="00000000">
        <w:rPr>
          <w:sz w:val="20"/>
          <w:szCs w:val="20"/>
          <w:rtl w:val="0"/>
        </w:rPr>
        <w:br w:type="textWrapping"/>
        <w:tab/>
        <w:tab/>
        <w:tab/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These should have as much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Data node: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 node that has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node.data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set to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(default). Data nodes hold data and perform data related operations such as CRUD, search, and aggregations.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Client node: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node.master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node.data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set to </w:t>
      </w: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false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What does it do then?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It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is used to forward cluster-level requests to the master node and data-related requests (such as search) to the appropriate data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Tribe node: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Can connect to more than one cluster and perform search &amp; other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Co-ordinating node: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This node co-ordinates other nodes. Like if while searching data is on two diff nodes than this nodes comes into action.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Cluster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Type: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type is a logical category/partition of your index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Document: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Shards &amp; Replicas: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Index can have more data than that can be stored on a single node. We can divide index into multiple shards when creating. Sharding allows us to split data and parallelize operations across shards.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Replication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Once replicated, each index will have primary shards (the original shards that were replicated from) and replica shards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No. of shards can’t be changed after creation of index, but replicas can be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Primary shard: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By default, index has 5 primary shards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Replica shard: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Default one replica per one primary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Routing: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Selecting the primary shard in which it  is to be indexed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