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" w:after="60"/>
      </w:pPr>
      <w:r>
        <w:rPr>
          <w:rFonts w:ascii="Calibri" w:hAnsi="Calibri"/>
          <w:b/>
          <w:color w:val="172421"/>
          <w:sz w:val="46"/>
        </w:rPr>
        <w:t>Vicinal Disulfides</w:t>
      </w:r>
    </w:p>
    <w:p>
      <w:pPr>
        <w:spacing w:after="240"/>
      </w:pPr>
      <w:r>
        <w:rPr>
          <w:rFonts w:ascii="Calibri" w:hAnsi="Calibri"/>
          <w:b w:val="0"/>
          <w:color w:val="5B6764"/>
          <w:sz w:val="22"/>
        </w:rPr>
        <w:t>Target notes from Richardson et al., Journal of Molecular Biology (2017)</w:t>
      </w:r>
    </w:p>
    <w:p>
      <w:pPr>
        <w:pStyle w:val="Heading1"/>
      </w:pPr>
      <w:r>
        <w:t>Short interpretation</w:t>
      </w:r>
    </w:p>
    <w:p>
      <w:r>
        <w:t>A vicinal disulfide always joins two sequence-adjacent cysteines, but some examples sit within a larger cysteine system. Most validated cases use a two-cysteine pair for structural rigidity, motion, or ligand recognition. The paper explicitly describes transglutaminase 2 as a three-cysteine redox system and discusses four-cysteine systems in MerA and hepcidin. Hepcidin is a correction case rather than a validated vicinal bond.</w:t>
      </w:r>
    </w:p>
    <w:p>
      <w:pPr>
        <w:spacing w:before="80" w:after="180"/>
        <w:ind w:left="216" w:right="216"/>
      </w:pPr>
      <w:r>
        <w:rPr>
          <w:rFonts w:ascii="Calibri" w:hAnsi="Calibri"/>
          <w:b/>
          <w:color w:val="1F4D78"/>
          <w:sz w:val="19"/>
        </w:rPr>
        <w:t>Label rule: “2-Cys” describes the bonded adjacent pair. “3-Cys” or “4-Cys” is used only when the paper explicitly brings additional cysteines into the same redox or connectivity interpretation.</w:t>
      </w:r>
    </w:p>
    <w:p>
      <w:pPr>
        <w:pStyle w:val="Heading1"/>
      </w:pPr>
      <w:r>
        <w:t>Targets discussed in the paper</w:t>
      </w:r>
    </w:p>
    <w:p>
      <w:pPr>
        <w:spacing w:before="0" w:after="100"/>
      </w:pPr>
      <w:r>
        <w:rPr>
          <w:rFonts w:ascii="Calibri" w:hAnsi="Calibri"/>
          <w:b w:val="0"/>
          <w:color w:val="5B6764"/>
          <w:sz w:val="17"/>
        </w:rPr>
        <w:t>The residue pair is given where it is explicit in the supplied paper text; otherwise the entry remains “adjacent pair.”</w:t>
      </w:r>
    </w:p>
    <w:tbl>
      <w:tblPr>
        <w:tblStyle w:val="TableGrid"/>
        <w:tblW w:type="dxa" w:w="100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1150"/>
        <w:gridCol w:w="1250"/>
        <w:gridCol w:w="1900"/>
        <w:gridCol w:w="3660"/>
      </w:tblGrid>
      <w:tr>
        <w:trPr>
          <w:tblHeader/>
        </w:trP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Target</w:t>
            </w:r>
          </w:p>
        </w:tc>
        <w:tc>
          <w:tcPr>
            <w:tcW w:type="dxa" w:w="11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PDB</w:t>
            </w:r>
          </w:p>
        </w:tc>
        <w:tc>
          <w:tcPr>
            <w:tcW w:type="dxa" w:w="12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Cys label</w:t>
            </w:r>
          </w:p>
        </w:tc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Cysteines</w:t>
            </w:r>
          </w:p>
        </w:tc>
        <w:tc>
          <w:tcPr>
            <w:tcW w:type="dxa" w:w="3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Paper conclusion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421"/>
                <w:sz w:val="16"/>
              </w:rPr>
              <w:t>Transferrin-binding protein B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421"/>
                <w:sz w:val="16"/>
              </w:rPr>
              <w:t>3HOL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421"/>
                <w:sz w:val="16"/>
              </w:rPr>
              <w:t>2-Cys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421"/>
                <w:sz w:val="16"/>
              </w:rPr>
              <w:t>Cys351-Cys352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421"/>
                <w:sz w:val="16"/>
              </w:rPr>
              <w:t>Stabilizes a tightly packed domain interface.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421"/>
                <w:sz w:val="16"/>
              </w:rPr>
              <w:t>TSLP cytokine receptor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421"/>
                <w:sz w:val="16"/>
              </w:rPr>
              <w:t>4NN5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421"/>
                <w:sz w:val="16"/>
              </w:rPr>
              <w:t>2-Cys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421"/>
                <w:sz w:val="16"/>
              </w:rPr>
              <w:t>Cys169-Cys170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421"/>
                <w:sz w:val="16"/>
              </w:rPr>
              <w:t>Caps and supports a Greek-key beta arch.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421"/>
                <w:sz w:val="16"/>
              </w:rPr>
              <w:t>Pestivirus Erns RNase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421"/>
                <w:sz w:val="16"/>
              </w:rPr>
              <w:t>4DVK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421"/>
                <w:sz w:val="16"/>
              </w:rPr>
              <w:t>2-Cys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421"/>
                <w:sz w:val="16"/>
              </w:rPr>
              <w:t>Adjacent pair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421"/>
                <w:sz w:val="16"/>
              </w:rPr>
              <w:t>Forms an unusual helix N-cap with a structural role.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421"/>
                <w:sz w:val="16"/>
              </w:rPr>
              <w:t>RP105/MD-1 receptor complex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421"/>
                <w:sz w:val="16"/>
              </w:rPr>
              <w:t>3T6Q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421"/>
                <w:sz w:val="16"/>
              </w:rPr>
              <w:t>2-Cys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421"/>
                <w:sz w:val="16"/>
              </w:rPr>
              <w:t>Cys388-Cys389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421"/>
                <w:sz w:val="16"/>
              </w:rPr>
              <w:t>Reshapes a repeat involved in carbohydrate-supported recognition.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421"/>
                <w:sz w:val="16"/>
              </w:rPr>
              <w:t>Anti-HIV antibody 35O22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421"/>
                <w:sz w:val="16"/>
              </w:rPr>
              <w:t>4TVP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421"/>
                <w:sz w:val="16"/>
              </w:rPr>
              <w:t>2-Cys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421"/>
                <w:sz w:val="16"/>
              </w:rPr>
              <w:t>Cys27c-Cys28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421"/>
                <w:sz w:val="16"/>
              </w:rPr>
              <w:t>Stabilizes a loop supporting Env and glycan recognition.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421"/>
                <w:sz w:val="16"/>
              </w:rPr>
              <w:t>Transglutaminase 2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421"/>
                <w:sz w:val="16"/>
              </w:rPr>
              <w:t>2Q3Z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421"/>
                <w:sz w:val="16"/>
              </w:rPr>
              <w:t>3-Cys system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421"/>
                <w:sz w:val="16"/>
              </w:rPr>
              <w:t>Cys371-Cys372 + Cys230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421"/>
                <w:sz w:val="16"/>
              </w:rPr>
              <w:t>Vicinal-bond oxidation promotes inactivation and rearrangement; Cys230 is implicated in disulfide exchange.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421"/>
                <w:sz w:val="16"/>
              </w:rPr>
              <w:t>GH54 arabinofuranosidase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421"/>
                <w:sz w:val="16"/>
              </w:rPr>
              <w:t>1WD3/1WD4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421"/>
                <w:sz w:val="16"/>
              </w:rPr>
              <w:t>2-Cys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421"/>
                <w:sz w:val="16"/>
              </w:rPr>
              <w:t>Cys177-Cys178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421"/>
                <w:sz w:val="16"/>
              </w:rPr>
              <w:t>Directly contacts arabinose; mutation lowers binding and catalysis.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421"/>
                <w:sz w:val="16"/>
              </w:rPr>
              <w:t>Nicotinic acetylcholine receptor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421"/>
                <w:sz w:val="16"/>
              </w:rPr>
              <w:t>2QC1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421"/>
                <w:sz w:val="16"/>
              </w:rPr>
              <w:t>2-Cys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421"/>
                <w:sz w:val="16"/>
              </w:rPr>
              <w:t>Cys192-Cys193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421"/>
                <w:sz w:val="16"/>
              </w:rPr>
              <w:t>Required for ligand binding and coupling to channel opening.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421"/>
                <w:sz w:val="16"/>
              </w:rPr>
              <w:t>Von Willebrand factor A2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421"/>
                <w:sz w:val="16"/>
              </w:rPr>
              <w:t>3GXB/3ZQK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421"/>
                <w:sz w:val="16"/>
              </w:rPr>
              <w:t>2-Cys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421"/>
                <w:sz w:val="16"/>
              </w:rPr>
              <w:t>Cys1670-Cys1671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421"/>
                <w:sz w:val="16"/>
              </w:rPr>
              <w:t>Acts as a shear-sensitive structural bolt controlling unfolding.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421"/>
                <w:sz w:val="16"/>
              </w:rPr>
              <w:t>Mercuric reductase MerA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421"/>
                <w:sz w:val="16"/>
              </w:rPr>
              <w:t>1ZK7/1ZK9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421"/>
                <w:sz w:val="16"/>
              </w:rPr>
              <w:t>4-Cys / 2 pairs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421"/>
                <w:sz w:val="16"/>
              </w:rPr>
              <w:t>Vicinal pair + active-site pair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421"/>
                <w:sz w:val="16"/>
              </w:rPr>
              <w:t>The vicinal pair participates in the paper's clear catalytic redox example and transfers mercury toward the active site.</w:t>
            </w:r>
          </w:p>
        </w:tc>
      </w:tr>
    </w:tbl>
    <w:p>
      <w:r>
        <w:br w:type="page"/>
      </w:r>
    </w:p>
    <w:p>
      <w:pPr>
        <w:spacing w:after="120"/>
      </w:pPr>
      <w:r>
        <w:rPr>
          <w:rFonts w:ascii="Calibri" w:hAnsi="Calibri"/>
          <w:b/>
          <w:color w:val="2E74B5"/>
          <w:sz w:val="22"/>
        </w:rPr>
        <w:t>Targets discussed in the paper — continued</w:t>
      </w:r>
    </w:p>
    <w:tbl>
      <w:tblPr>
        <w:tblStyle w:val="TableGrid"/>
        <w:tblW w:type="dxa" w:w="100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1150"/>
        <w:gridCol w:w="1250"/>
        <w:gridCol w:w="1900"/>
        <w:gridCol w:w="3660"/>
      </w:tblGrid>
      <w:tr>
        <w:trPr>
          <w:tblHeader/>
        </w:trP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Target</w:t>
            </w:r>
          </w:p>
        </w:tc>
        <w:tc>
          <w:tcPr>
            <w:tcW w:type="dxa" w:w="11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PDB</w:t>
            </w:r>
          </w:p>
        </w:tc>
        <w:tc>
          <w:tcPr>
            <w:tcW w:type="dxa" w:w="12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Cys label</w:t>
            </w:r>
          </w:p>
        </w:tc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Cysteines</w:t>
            </w:r>
          </w:p>
        </w:tc>
        <w:tc>
          <w:tcPr>
            <w:tcW w:type="dxa" w:w="3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Paper conclusion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421"/>
                <w:sz w:val="16"/>
              </w:rPr>
              <w:t>PQQ alcohol dehydrogenase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421"/>
                <w:sz w:val="16"/>
              </w:rPr>
              <w:t>1KB0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421"/>
                <w:sz w:val="16"/>
              </w:rPr>
              <w:t>2-Cys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421"/>
                <w:sz w:val="16"/>
              </w:rPr>
              <w:t>Cys117-Cys118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421"/>
                <w:sz w:val="16"/>
              </w:rPr>
              <w:t>Contacts the PQQ cofactor and supports electron transfer.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421"/>
                <w:sz w:val="16"/>
              </w:rPr>
              <w:t>GH43 arabinanases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421"/>
                <w:sz w:val="16"/>
              </w:rPr>
              <w:t>1GYH/1UV4/3CU9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421"/>
                <w:sz w:val="16"/>
              </w:rPr>
              <w:t>2-Cys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421"/>
                <w:sz w:val="16"/>
              </w:rPr>
              <w:t>Adjacent pair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421"/>
                <w:sz w:val="16"/>
              </w:rPr>
              <w:t>Provides a rigid hydrophobic platform beneath arabinose.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421"/>
                <w:sz w:val="16"/>
              </w:rPr>
              <w:t>Eel fucose agglutinin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421"/>
                <w:sz w:val="16"/>
              </w:rPr>
              <w:t>1K12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421"/>
                <w:sz w:val="16"/>
              </w:rPr>
              <w:t>2-Cys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421"/>
                <w:sz w:val="16"/>
              </w:rPr>
              <w:t>Adjacent pair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421"/>
                <w:sz w:val="16"/>
              </w:rPr>
              <w:t>Contacts the underside of fucose and contributes specificity.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421"/>
                <w:sz w:val="16"/>
              </w:rPr>
              <w:t>Pullulanase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421"/>
                <w:sz w:val="16"/>
              </w:rPr>
              <w:t>2FHF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421"/>
                <w:sz w:val="16"/>
              </w:rPr>
              <w:t>2-Cys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421"/>
                <w:sz w:val="16"/>
              </w:rPr>
              <w:t>Adjacent pair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421"/>
                <w:sz w:val="16"/>
              </w:rPr>
              <w:t>Helps position and curve a branched glucose chain.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421"/>
                <w:sz w:val="16"/>
              </w:rPr>
              <w:t>BMP-1 metalloprotease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421"/>
                <w:sz w:val="16"/>
              </w:rPr>
              <w:t>3EDH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421"/>
                <w:sz w:val="16"/>
              </w:rPr>
              <w:t>2-Cys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421"/>
                <w:sz w:val="16"/>
              </w:rPr>
              <w:t>Cys65-Cys66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421"/>
                <w:sz w:val="16"/>
              </w:rPr>
              <w:t>Near the zinc site, but its functional significance is uncertain.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421"/>
                <w:sz w:val="16"/>
              </w:rPr>
              <w:t>MccF peptidase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421"/>
                <w:sz w:val="16"/>
              </w:rPr>
              <w:t>3SR3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421"/>
                <w:sz w:val="16"/>
              </w:rPr>
              <w:t>2-Cys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421"/>
                <w:sz w:val="16"/>
              </w:rPr>
              <w:t>Cys302-Cys303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421"/>
                <w:sz w:val="16"/>
              </w:rPr>
              <w:t>Bond formation disrupts the catalytic network and likely inactivates the enzyme.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421"/>
                <w:sz w:val="16"/>
              </w:rPr>
              <w:t>Hepcidin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421"/>
                <w:sz w:val="16"/>
              </w:rPr>
              <w:t>1M4F/3H0T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421"/>
                <w:sz w:val="16"/>
              </w:rPr>
              <w:t>4-Cys cluster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421"/>
                <w:sz w:val="16"/>
              </w:rPr>
              <w:t>Cys10, Cys13, Cys14, Cys22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421"/>
                <w:sz w:val="16"/>
              </w:rPr>
              <w:t>Not a valid vicinal disulfide: the corrected bonds are Cys13-Cys10 and Cys14-Cys22.</w:t>
            </w:r>
          </w:p>
        </w:tc>
      </w:tr>
    </w:tbl>
    <w:p>
      <w:pPr>
        <w:pStyle w:val="Heading1"/>
      </w:pPr>
      <w:r>
        <w:t>Paper-level conclusion</w:t>
      </w:r>
    </w:p>
    <w:p>
      <w:r>
        <w:t>The paper treats a conserved, structurally verified vicinal disulfide as potentially important because the geometry is rare and strained. Its most repeated role is a rigid hydrophobic surface beneath sugars or other ring ligands. Sequence adjacency alone is insufficient: bond connectivity and local structural quality must be verified.</w:t>
      </w:r>
    </w:p>
    <w:p>
      <w:pPr>
        <w:spacing w:before="140" w:after="0"/>
      </w:pPr>
      <w:r>
        <w:rPr>
          <w:rFonts w:ascii="Calibri" w:hAnsi="Calibri"/>
          <w:b w:val="0"/>
          <w:color w:val="5B6764"/>
          <w:sz w:val="16"/>
        </w:rPr>
        <w:t>Source: Richardson JS, Videau LL, Williams CJ, Richardson DC. Broad Analysis of Vicinal Disulfides. J Mol Biol. 2017;429(9):1321-1335. doi:10.1016/j.jmb.2017.03.017.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037" w:bottom="1037" w:left="1037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5B6764"/>
        <w:sz w:val="16"/>
      </w:rPr>
      <w:t xml:space="preserve">Page </w:t>
    </w:r>
    <w:r>
      <w:rPr>
        <w:rFonts w:ascii="Calibri" w:hAnsi="Calibri"/>
        <w:b w:val="0"/>
        <w:color w:val="5B6764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5B6764"/>
        <w:sz w:val="16"/>
      </w:rPr>
      <w:t>TOTAH LAB  /  STRUCTURAL EVIDENCE NOTE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Calibri" w:hAnsi="Calibri"/>
      <w:color w:val="17242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