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spacing w:val="3"/>
          <w:sz w:val="24"/>
          <w:szCs w:val="24"/>
        </w:rPr>
      </w:pPr>
      <w:r>
        <w:rPr>
          <w:rFonts w:hint="eastAsia" w:ascii="宋体" w:hAnsi="宋体" w:eastAsia="宋体" w:cs="宋体"/>
          <w:i w:val="0"/>
          <w:iCs w:val="0"/>
          <w:caps w:val="0"/>
          <w:color w:val="FF0000"/>
          <w:spacing w:val="3"/>
          <w:sz w:val="24"/>
          <w:szCs w:val="24"/>
          <w:shd w:val="clear" w:fill="FFFFFF"/>
        </w:rPr>
        <w:t>法释〔2023〕3号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最高人民法院  最高人民检察院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关于办理强奸、猥亵未成年人刑事案件适用法律若干问题的解释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797676"/>
          <w:spacing w:val="3"/>
          <w:sz w:val="24"/>
          <w:szCs w:val="24"/>
          <w:shd w:val="clear" w:fill="FFFFFF"/>
        </w:rPr>
      </w:pPr>
      <w:r>
        <w:rPr>
          <w:rFonts w:hint="eastAsia" w:ascii="宋体" w:hAnsi="宋体" w:eastAsia="宋体" w:cs="宋体"/>
          <w:i w:val="0"/>
          <w:iCs w:val="0"/>
          <w:caps w:val="0"/>
          <w:color w:val="797676"/>
          <w:spacing w:val="3"/>
          <w:sz w:val="24"/>
          <w:szCs w:val="24"/>
          <w:shd w:val="clear" w:fill="FFFFFF"/>
        </w:rPr>
        <w:t>（2023年1月3日最高人民法院审判委员会第1878次会议、2023年3月2日最高人民检察院第十三届检察委员会第一百一十四次会议通过，自2023年6月1日起施行）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797676"/>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为依法惩处强奸、猥亵未成年人犯罪，保护未成年人合法权益，根据《中华人民共和国刑法》等法律规定，现就办理此类刑事案件适用法律的若干问题解释如下：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第一条</w:t>
      </w:r>
      <w:r>
        <w:rPr>
          <w:rFonts w:hint="eastAsia" w:ascii="宋体" w:hAnsi="宋体" w:eastAsia="宋体" w:cs="宋体"/>
          <w:i w:val="0"/>
          <w:iCs w:val="0"/>
          <w:caps w:val="0"/>
          <w:spacing w:val="3"/>
          <w:sz w:val="24"/>
          <w:szCs w:val="24"/>
          <w:shd w:val="clear" w:fill="FFFFFF"/>
        </w:rPr>
        <w:t>  奸淫幼女的，依照刑法第二百三十六条第二款的规定从重处罚。具有下列情形之一的，应当适用较重的从重处罚幅度：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（一） 负有特殊职责的人员实施奸淫的；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（二） 采用暴力、胁迫等手段实施奸淫的；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（三） 侵入住宅或者学生集体宿舍实施奸淫的；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（四） 对农村留守女童、严重残疾或者精神发育迟滞的被害人实施奸淫的；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（五） 利用其他未成年人诱骗、介绍、胁迫被害人的；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（六） 曾因强奸、猥亵犯罪被判处刑罚的。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强奸已满十四周岁的未成年女性，具有前款第一项、第三项至第六项规定的情形之一，或者致使被害人轻伤、患梅毒、淋病等严重性病的，依照刑法第二百三十六条第一款的规定定罪，从重处罚。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第二条 </w:t>
      </w:r>
      <w:r>
        <w:rPr>
          <w:rFonts w:hint="eastAsia" w:ascii="宋体" w:hAnsi="宋体" w:eastAsia="宋体" w:cs="宋体"/>
          <w:i w:val="0"/>
          <w:iCs w:val="0"/>
          <w:caps w:val="0"/>
          <w:spacing w:val="3"/>
          <w:sz w:val="24"/>
          <w:szCs w:val="24"/>
          <w:shd w:val="clear" w:fill="FFFFFF"/>
        </w:rPr>
        <w:t> 强奸已满十四周岁的未成年女性或者奸淫幼女，具有下列情形之一的，应当认定为刑法第二百三十六条第三款第一项规定的“强奸妇女、奸淫幼女情节恶劣”：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（一）负有特殊职责的人员多次实施强奸、奸淫的；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（二）有严重摧残、凌辱行为的；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（三）非法拘禁或者利用毒品诱骗、控制被害人的；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（四）多次利用其他未成年人诱骗、介绍、胁迫被害人的；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（五）长期实施强奸、奸淫的；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（六）奸淫精神发育迟滞的被害人致使怀孕的；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（七）对强奸、奸淫过程或者被害人身体隐私部位制作视频、照片等影像资料，以此胁迫对被害人实施强奸、奸淫，或者致使影像资料向多人传播，暴露被害人身份的；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（八）其他情节恶劣的情形。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第三条  </w:t>
      </w:r>
      <w:r>
        <w:rPr>
          <w:rFonts w:hint="eastAsia" w:ascii="宋体" w:hAnsi="宋体" w:eastAsia="宋体" w:cs="宋体"/>
          <w:i w:val="0"/>
          <w:iCs w:val="0"/>
          <w:caps w:val="0"/>
          <w:spacing w:val="3"/>
          <w:sz w:val="24"/>
          <w:szCs w:val="24"/>
          <w:shd w:val="clear" w:fill="FFFFFF"/>
        </w:rPr>
        <w:t>奸淫幼女，具有下列情形之一的，应当认定为刑法第二百三十六条第三款第五项规定的“造成幼女伤害”：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（一）致使幼女轻伤的；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（二）致使幼女患梅毒、淋病等严重性病的；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（三）对幼女身心健康造成其他伤害的情形。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第四条</w:t>
      </w:r>
      <w:r>
        <w:rPr>
          <w:rFonts w:hint="eastAsia" w:ascii="宋体" w:hAnsi="宋体" w:eastAsia="宋体" w:cs="宋体"/>
          <w:i w:val="0"/>
          <w:iCs w:val="0"/>
          <w:caps w:val="0"/>
          <w:spacing w:val="3"/>
          <w:sz w:val="24"/>
          <w:szCs w:val="24"/>
          <w:shd w:val="clear" w:fill="FFFFFF"/>
        </w:rPr>
        <w:t>  强奸已满十四周岁的未成年女性或者奸淫幼女，致使其感染艾滋病病毒的，应当认定为刑法第二百三十六条第三款第六项规定的“致使被害人重伤”。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第五条</w:t>
      </w:r>
      <w:r>
        <w:rPr>
          <w:rFonts w:hint="eastAsia" w:ascii="宋体" w:hAnsi="宋体" w:eastAsia="宋体" w:cs="宋体"/>
          <w:i w:val="0"/>
          <w:iCs w:val="0"/>
          <w:caps w:val="0"/>
          <w:spacing w:val="3"/>
          <w:sz w:val="24"/>
          <w:szCs w:val="24"/>
          <w:shd w:val="clear" w:fill="FFFFFF"/>
        </w:rPr>
        <w:t>  对已满十四周岁不满十六周岁的未成年女性负有特殊职责的人员，与该未成年女性发生性关系，具有下列情形之一的，应当认定为刑法第二百三十六条之一规定的“情节恶劣”：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（一）长期发生性关系的；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（二）与多名被害人发生性关系的；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（三）致使被害人感染艾滋病病毒或者患梅毒、淋病等严重性病的；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（四）对发生性关系的过程或者被害人身体隐私部位制作视频、照片等影像资料，致使影像资料向多人传播，暴露被害人身份的；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（五）其他情节恶劣的情形。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第六条 </w:t>
      </w:r>
      <w:r>
        <w:rPr>
          <w:rFonts w:hint="eastAsia" w:ascii="宋体" w:hAnsi="宋体" w:eastAsia="宋体" w:cs="宋体"/>
          <w:i w:val="0"/>
          <w:iCs w:val="0"/>
          <w:caps w:val="0"/>
          <w:spacing w:val="3"/>
          <w:sz w:val="24"/>
          <w:szCs w:val="24"/>
          <w:shd w:val="clear" w:fill="FFFFFF"/>
        </w:rPr>
        <w:t> 对已满十四周岁的未成年女性负有特殊职责的人员，利用优势地位或者被害人孤立无援的境地，迫使被害人与其发生性关系的，依照刑法第二百三十六条的规定，以强奸罪定罪处罚。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第七条</w:t>
      </w:r>
      <w:r>
        <w:rPr>
          <w:rFonts w:hint="eastAsia" w:ascii="宋体" w:hAnsi="宋体" w:eastAsia="宋体" w:cs="宋体"/>
          <w:i w:val="0"/>
          <w:iCs w:val="0"/>
          <w:caps w:val="0"/>
          <w:spacing w:val="3"/>
          <w:sz w:val="24"/>
          <w:szCs w:val="24"/>
          <w:shd w:val="clear" w:fill="FFFFFF"/>
        </w:rPr>
        <w:t>  猥亵儿童，具有下列情形之一的，应当认定为刑法第二百三十七条第三款第三项规定的“造成儿童伤害或者其他严重后果”：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（一）致使儿童轻伤以上的；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（二）致使儿童自残、自杀的；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（三）对儿童身心健康造成其他伤害或者严重后果的情形。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第八条</w:t>
      </w:r>
      <w:r>
        <w:rPr>
          <w:rFonts w:hint="eastAsia" w:ascii="宋体" w:hAnsi="宋体" w:eastAsia="宋体" w:cs="宋体"/>
          <w:i w:val="0"/>
          <w:iCs w:val="0"/>
          <w:caps w:val="0"/>
          <w:spacing w:val="3"/>
          <w:sz w:val="24"/>
          <w:szCs w:val="24"/>
          <w:shd w:val="clear" w:fill="FFFFFF"/>
        </w:rPr>
        <w:t>  猥亵儿童，具有下列情形之一的，应当认定为刑法第二百三十七条第三款第四项规定的“猥亵手段恶劣或者有其他恶劣情节”：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（一）以生殖器侵入肛门、口腔或者以生殖器以外的身体部位、物品侵入被害人生殖器、肛门等方式实施猥亵的；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（二）有严重摧残、凌辱行为的；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（三）对猥亵过程或者被害人身体隐私部位制作视频、照片等影像资料，以此胁迫对被害人实施猥亵，或者致使影像资料向多人传播，暴露被害人身份的；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（四）采取其他恶劣手段实施猥亵或者有其他恶劣情节的情形。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第九条 </w:t>
      </w:r>
      <w:r>
        <w:rPr>
          <w:rFonts w:hint="eastAsia" w:ascii="宋体" w:hAnsi="宋体" w:eastAsia="宋体" w:cs="宋体"/>
          <w:i w:val="0"/>
          <w:iCs w:val="0"/>
          <w:caps w:val="0"/>
          <w:spacing w:val="3"/>
          <w:sz w:val="24"/>
          <w:szCs w:val="24"/>
          <w:shd w:val="clear" w:fill="FFFFFF"/>
        </w:rPr>
        <w:t> 胁迫、诱骗未成年人通过网络视频聊天或者发送视频、照片等方式，暴露身体隐私部位或者实施淫秽行为，符合刑法第二百三十七条规定的，以强制猥亵罪或者猥亵儿童罪定罪处罚。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胁迫、诱骗未成年人通过网络直播方式实施前款行为，同时符合刑法第二百三十七条、第三百六十五条的规定，构成强制猥亵罪、猥亵儿童罪、组织淫秽表演罪的，依照处罚较重的规定定罪处罚。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9007"/>
        </w:tabs>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lang w:eastAsia="zh-CN"/>
        </w:rPr>
      </w:pPr>
      <w:r>
        <w:rPr>
          <w:rFonts w:hint="eastAsia" w:ascii="宋体" w:hAnsi="宋体" w:eastAsia="宋体" w:cs="宋体"/>
          <w:i w:val="0"/>
          <w:iCs w:val="0"/>
          <w:caps w:val="0"/>
          <w:spacing w:val="3"/>
          <w:sz w:val="24"/>
          <w:szCs w:val="24"/>
          <w:shd w:val="clear" w:fill="FFFFFF"/>
          <w:lang w:eastAsia="zh-CN"/>
        </w:rPr>
        <w:tab/>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第十条</w:t>
      </w:r>
      <w:r>
        <w:rPr>
          <w:rFonts w:hint="eastAsia" w:ascii="宋体" w:hAnsi="宋体" w:eastAsia="宋体" w:cs="宋体"/>
          <w:i w:val="0"/>
          <w:iCs w:val="0"/>
          <w:caps w:val="0"/>
          <w:spacing w:val="3"/>
          <w:sz w:val="24"/>
          <w:szCs w:val="24"/>
          <w:shd w:val="clear" w:fill="FFFFFF"/>
        </w:rPr>
        <w:t>  实施猥亵未成年人犯罪，造成被害人轻伤以上后果，同时符合刑法第二百三十四条或者第二百三十二条的规定，构成故意伤害罪、故意杀人罪的，依照处罚较重的规定定罪处罚。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第十一条 </w:t>
      </w:r>
      <w:r>
        <w:rPr>
          <w:rFonts w:hint="eastAsia" w:ascii="宋体" w:hAnsi="宋体" w:eastAsia="宋体" w:cs="宋体"/>
          <w:i w:val="0"/>
          <w:iCs w:val="0"/>
          <w:caps w:val="0"/>
          <w:spacing w:val="3"/>
          <w:sz w:val="24"/>
          <w:szCs w:val="24"/>
          <w:shd w:val="clear" w:fill="FFFFFF"/>
        </w:rPr>
        <w:t> 强奸、猥亵未成年人的成年被告人认罪认罚的，是否从宽处罚及从宽幅度应当从严把握。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第十二条</w:t>
      </w:r>
      <w:r>
        <w:rPr>
          <w:rFonts w:hint="eastAsia" w:ascii="宋体" w:hAnsi="宋体" w:eastAsia="宋体" w:cs="宋体"/>
          <w:i w:val="0"/>
          <w:iCs w:val="0"/>
          <w:caps w:val="0"/>
          <w:spacing w:val="3"/>
          <w:sz w:val="24"/>
          <w:szCs w:val="24"/>
          <w:shd w:val="clear" w:fill="FFFFFF"/>
        </w:rPr>
        <w:t>  对强奸未成年人的成年被告人判处刑罚时，一般不适用缓刑。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对于判处刑罚同时宣告缓刑的，可以根据犯罪情况，同时宣告禁止令，禁止犯罪分子在缓刑考验期限内从事与未成年人有关的工作、活动，禁止其进入中小学校、幼儿园及其他未成年人集中的场所。确因本人就学、居住等原因，经执行机关批准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第十三条 </w:t>
      </w:r>
      <w:r>
        <w:rPr>
          <w:rFonts w:hint="eastAsia" w:ascii="宋体" w:hAnsi="宋体" w:eastAsia="宋体" w:cs="宋体"/>
          <w:i w:val="0"/>
          <w:iCs w:val="0"/>
          <w:caps w:val="0"/>
          <w:spacing w:val="3"/>
          <w:sz w:val="24"/>
          <w:szCs w:val="24"/>
          <w:shd w:val="clear" w:fill="FFFFFF"/>
        </w:rPr>
        <w:t> 对于利用职业便利实施强奸、猥亵未成年人等犯罪的，人民法院应当依法适用从业禁止。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第十四条 </w:t>
      </w:r>
      <w:r>
        <w:rPr>
          <w:rFonts w:hint="eastAsia" w:ascii="宋体" w:hAnsi="宋体" w:eastAsia="宋体" w:cs="宋体"/>
          <w:i w:val="0"/>
          <w:iCs w:val="0"/>
          <w:caps w:val="0"/>
          <w:spacing w:val="3"/>
          <w:sz w:val="24"/>
          <w:szCs w:val="24"/>
          <w:shd w:val="clear" w:fill="FFFFFF"/>
        </w:rPr>
        <w:t> 对未成年人实施强奸、猥亵等犯罪造成人身损害的，应当赔偿医疗费、护理费、交通费、营养费、住院伙食补助费等为治疗和康复支付的合理费用，以及因误工减少的收入。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Fonts w:hint="eastAsia" w:ascii="宋体" w:hAnsi="宋体" w:eastAsia="宋体" w:cs="宋体"/>
          <w:i w:val="0"/>
          <w:iCs w:val="0"/>
          <w:caps w:val="0"/>
          <w:spacing w:val="3"/>
          <w:sz w:val="24"/>
          <w:szCs w:val="24"/>
          <w:shd w:val="clear" w:fill="FFFFFF"/>
        </w:rPr>
        <w:t>根据鉴定意见、医疗诊断书等证明需要对未成年人进行精神心理治疗和康复，所需的相关费用，应当认定为前款规定的合理费用。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第十五条 </w:t>
      </w:r>
      <w:r>
        <w:rPr>
          <w:rFonts w:hint="eastAsia" w:ascii="宋体" w:hAnsi="宋体" w:eastAsia="宋体" w:cs="宋体"/>
          <w:i w:val="0"/>
          <w:iCs w:val="0"/>
          <w:caps w:val="0"/>
          <w:spacing w:val="3"/>
          <w:sz w:val="24"/>
          <w:szCs w:val="24"/>
          <w:shd w:val="clear" w:fill="FFFFFF"/>
        </w:rPr>
        <w:t> 本解释规定的“负有特殊职责的人员”，是指对未成年人负有监护、收养、看护、教育、医疗等职责的人员，包括与未成年人具有共同生活关系且事实上负有照顾、保护等职责的人员。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r>
        <w:rPr>
          <w:rStyle w:val="5"/>
          <w:rFonts w:hint="eastAsia" w:ascii="宋体" w:hAnsi="宋体" w:eastAsia="宋体" w:cs="宋体"/>
          <w:i w:val="0"/>
          <w:iCs w:val="0"/>
          <w:caps w:val="0"/>
          <w:spacing w:val="3"/>
          <w:sz w:val="24"/>
          <w:szCs w:val="24"/>
          <w:shd w:val="clear" w:fill="FFFFFF"/>
        </w:rPr>
        <w:t>第十六条</w:t>
      </w:r>
      <w:r>
        <w:rPr>
          <w:rFonts w:hint="eastAsia" w:ascii="宋体" w:hAnsi="宋体" w:eastAsia="宋体" w:cs="宋体"/>
          <w:i w:val="0"/>
          <w:iCs w:val="0"/>
          <w:caps w:val="0"/>
          <w:spacing w:val="3"/>
          <w:sz w:val="24"/>
          <w:szCs w:val="24"/>
          <w:shd w:val="clear" w:fill="FFFFFF"/>
        </w:rPr>
        <w:t>  本解释自2023年6月1日起施行。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firstLineChars="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Style w:val="5"/>
          <w:sz w:val="10"/>
          <w:szCs w:val="1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val="0"/>
          <w:sz w:val="24"/>
          <w:szCs w:val="24"/>
        </w:rPr>
      </w:pPr>
      <w:r>
        <w:rPr>
          <w:rStyle w:val="5"/>
          <w:b/>
          <w:bCs w:val="0"/>
          <w:sz w:val="24"/>
          <w:szCs w:val="24"/>
        </w:rPr>
        <w:t>最高人民法院 最高人民检察院 公安部 司法部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bCs w:val="0"/>
          <w:sz w:val="24"/>
          <w:szCs w:val="24"/>
        </w:rPr>
      </w:pPr>
      <w:r>
        <w:rPr>
          <w:rStyle w:val="5"/>
          <w:b/>
          <w:bCs w:val="0"/>
          <w:sz w:val="24"/>
          <w:szCs w:val="24"/>
        </w:rPr>
        <w:t>关于办理性侵害未成年人刑事案件的意见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为深入贯彻习近平法治思想，依法惩治性侵害未成年人犯罪，规范办理性侵害未成年人刑事案件，加强未成年人司法保护，根据《中华人民共和国刑法》《中华人民共和国刑事诉讼法》《中华人民共和国未成年人保护法》等相关法律规定，结合司法实际，制定本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r>
        <w:rPr>
          <w:rStyle w:val="5"/>
        </w:rPr>
        <w:t>一、总则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第一条 </w:t>
      </w:r>
      <w:r>
        <w:t>本意见所称性侵害未成年人犯罪，包括《中华人民共和国刑法》第二百三十六条、第二百三十六条之一、第二百三十七条、第三百五十八条、第三百五十九条规定的针对未成年人实施的强奸罪，负有照护职责人员性侵罪，强制猥亵、侮辱罪，猥亵儿童罪，组织卖淫罪，强迫卖淫罪，协助组织卖淫罪，引诱、容留、介绍卖淫罪，引诱幼女卖淫罪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第二条 </w:t>
      </w:r>
      <w:r>
        <w:t>办理性侵害未成年人刑事案件，应当坚持以下原则：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（一）依法从严惩处性侵害未成年人犯罪；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（二）坚持最有利于未成年人原则，充分考虑未成年人身心发育尚未成熟、易受伤害等特点，切实保障未成年人的合法权益；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（三）坚持双向保护原则，对于未成年人实施性侵害未成年人犯罪的，在依法保护未成年被害人的合法权益时，也要依法保护未成年犯罪嫌疑人、未成年被告人的合法权益。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第三条 </w:t>
      </w:r>
      <w:r>
        <w:t>人民法院、人民检察院、公安机关应当确定专门机构或者指定熟悉未成年人身心特点的专门人员，负责办理性侵害未成年人刑事案件。未成年被害人系女性的，应当有女性工作人员参与。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法律援助机构应当指派熟悉未成年人身心特点的律师为未成年人提供法律援助。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第四条 </w:t>
      </w:r>
      <w:r>
        <w:t>人民法院、人民检察院在办理性侵害未成年人刑事案件中发现社会治理漏洞的，依法提出司法建议、检察建议。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人民检察院依法对涉及性侵害未成年人的诉讼活动等进行监督，发现违法情形的，应当及时提出监督意见。发现未成年人合法权益受到侵犯，涉及公共利益的，应当依法提起公益诉讼。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r>
        <w:rPr>
          <w:rStyle w:val="5"/>
        </w:rPr>
        <w:t>二、案件办理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第五条 </w:t>
      </w:r>
      <w:r>
        <w:t>公安机关接到未成年人被性侵害的报案、控告、举报，应当及时受理，迅速审查。符合刑事立案条件的，应当立即立案侦查，重大、疑难、复杂案件立案审查期限原则上不超过七日。具有下列情形之一，公安机关应当在受理后直接立案侦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（一）精神发育明显迟滞的未成年人或者不满十四周岁的未成年人怀孕、妊娠终止或者分娩的；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（二）未成年人的生殖器官或者隐私部位遭受明显非正常损伤的；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（三）未成年人被组织、强迫、引诱、容留、介绍卖淫的；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（四）其他有证据证明性侵害未成年人犯罪发生的。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第六条 </w:t>
      </w:r>
      <w:r>
        <w:t>公安机关发现可能有未成年人被性侵害或者接报相关线索的，无论案件是否属于本单位管辖，都应当及时采取制止侵害行为、保护被害人、保护现场等紧急措施。必要时，应当通报有关部门对被害人予以临时安置、救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第七条 </w:t>
      </w:r>
      <w:r>
        <w:t>公安机关受理案件后，经过审查，认为有犯罪事实需要追究刑事责任，但因犯罪地、犯罪嫌疑人无法确定，管辖权不明的，受理案件的公安机关应当先立案侦查，经过侦查明确管辖后，及时将案件及证据材料移送有管辖权的公安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第八条 </w:t>
      </w:r>
      <w:r>
        <w:t>人民检察院、公安机关办理性侵害未成年人刑事案件，应当坚持分工负责、互相配合、互相制约，加强侦查监督与协作配合，健全完善信息双向共享机制，形成合力。在侦查过程中，公安机关可以商请人民检察院就案件定性、证据收集、法律适用、未成年人保护要求等提出意见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第九条 </w:t>
      </w:r>
      <w:r>
        <w:t>人民检察院认为公安机关应当立案侦查而不立案侦查的，或者被害人及其法定代理人、对未成年人负有特殊职责的人员据此向人民检察院提出异议，经审查其诉求合理的，人民检察院应当要求公安机关说明不立案的理由。人民检察院认为不立案理由不成立的，应当通知公安机关立案，公安机关接到通知后应当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第十条 </w:t>
      </w:r>
      <w:r>
        <w:t>对性侵害未成年人的成年犯罪嫌疑人、被告人，应当依法从严把握适用非羁押强制措施，依法追诉，从严惩处。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第十一条 </w:t>
      </w:r>
      <w:r>
        <w:t>公安机关办理性侵害未成年人刑事案件，在提请批准逮捕、移送起诉时，案卷材料中应当包含证明案件来源与案发过程的有关材料和犯罪嫌疑人归案（抓获）情况的说明等。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第十二条 </w:t>
      </w:r>
      <w:r>
        <w:t>人民法院、人民检察院办理性侵害未成年人案件，应当及时告知未成年被害人及其法定代理人或者近亲属有权委托诉讼代理人，并告知其有权依法申请法律援助。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第十三条 </w:t>
      </w:r>
      <w:r>
        <w:t>人民法院、人民检察院、公安机关办理性侵害未成年人刑事案件，除有碍案件办理的情形外，应当将案件进展情况、案件处理结果及时告知未成年被害人及其法定代理人，并对有关情况予以说明。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第十四条 </w:t>
      </w:r>
      <w:r>
        <w:t>人民法院确定性侵害未成年人刑事案件开庭日期后，应当将开庭的时间、地点通知未成年被害人及其法定代理人。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第十五条 </w:t>
      </w:r>
      <w:r>
        <w:t>人民法院开庭审理性侵害未成年人刑事案件，未成年被害人、证人一般不出庭作证。确有必要出庭的，应当根据案件情况采取不暴露外貌、真实声音等保护措施，或者采取视频等方式播放询问未成年人的录音录像，播放视频亦应当采取技术处理等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被告人及其辩护人当庭发问的方式或者内容不当，可能对未成年被害人、证人造成身心伤害的，审判长应当及时制止。未成年被害人、证人在庭审中出现恐慌、紧张、激动、抗拒等影响庭审正常进行的情形的，审判长应当宣布休庭，并采取相应的情绪安抚疏导措施，评估未成年被害人、证人继续出庭作证的必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第十六条 </w:t>
      </w:r>
      <w:r>
        <w:t>办理性侵害未成年人刑事案件，对于涉及未成年人的身份信息及可能推断出身份信息的资料和涉及性侵害的细节等内容，审判人员、检察人员、侦查人员、律师及参与诉讼、知晓案情的相关人员应当保密。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对外公开的诉讼文书，不得披露未成年人身份信息及可能推断出身份信息的其他资料，对性侵害的事实必须以适当方式叙述。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办案人员到未成年人及其亲属所在学校、单位、住所调查取证的，应当避免驾驶警车、穿着制服或者采取其他可能暴露未成年人身份、影响未成年人名誉、隐私的方式。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第十七条 </w:t>
      </w:r>
      <w:r>
        <w:t>知道或者应当知道对方是不满十四周岁的幼女，而实施奸淫等性侵害行为的，应当认定行为人“明知”对方是幼女。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对不满十二周岁的被害人实施奸淫等性侵害行为的，应当认定行为人“明知”对方是幼女。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对已满十二周岁不满十四周岁的被害人，从其身体发育状况、言谈举止、衣着特征、生活作息规律等观察可能是幼女，而实施奸淫等性侵害行为的，应当认定行为人“明知”对方是幼女。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第十八条 </w:t>
      </w:r>
      <w:r>
        <w:t>在校园、游泳馆、儿童游乐场、学生集体宿舍等公共场所对未成年人实施强奸、猥亵犯罪，只要有其他多人在场，不论在场人员是否实际看到，均可以依照刑法第二百三十六条第三款、第二百三十七条的规定，认定为在公共场所“当众”强奸、猥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第十九条 </w:t>
      </w:r>
      <w:r>
        <w:t>外国人在中华人民共和国领域内实施强奸、猥亵未成年人等犯罪的，在依法判处刑罚时，可以附加适用驱逐出境。对于尚不构成犯罪但构成违反治安管理行为的，或者有性侵害未成年人犯罪记录不适宜在境内继续停留居留的，公安机关可以依法适用限期出境或者驱逐出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第二十条 </w:t>
      </w:r>
      <w:r>
        <w:t>对性侵害未成年人的成年犯罪分子严格把握减刑、假释、暂予监外执行的适用条件。纳入社区矫正的，应当严管严控。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r>
        <w:rPr>
          <w:rStyle w:val="5"/>
        </w:rPr>
        <w:t>三、证据收集与审查判断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第二十一条 </w:t>
      </w:r>
      <w:r>
        <w:t>公安机关办理性侵害未成年人刑事案件，应当依照法定程序，及时、全面收集固定证据。对与犯罪有关的场所、物品、人身等及时进行勘验、检查，提取与案件有关的痕迹、物证、生物样本；及时调取与案件有关的住宿、通行、银行交易记录等书证，现场监控录像等视听资料，手机短信、即时通讯记录、社交软件记录、手机支付记录、音视频、网盘资料等电子数据。视听资料、电子数据等证据因保管不善灭失的，应当向原始数据存储单位重新调取，或者提交专业机构进行技术性恢复、修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第二十二条 </w:t>
      </w:r>
      <w:r>
        <w:t>未成年被害人陈述、未成年证人证言中提到其他犯罪线索，属于公安机关管辖的，公安机关应当及时调查核实；属于其他机关管辖的，应当移送有管辖权的机关。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具有密切接触未成年人便利条件的人员涉嫌性侵害未成年人犯罪的，公安机关应当注意摸排犯罪嫌疑人可能接触到的其他未成年人，以便全面查清犯罪事实。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对于发生在犯罪嫌疑人住所周边或者相同、类似场所且犯罪手法雷同的性侵害案件，符合并案条件的，应当及时并案侦查，防止遗漏犯罪事实。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第二十三条 </w:t>
      </w:r>
      <w:r>
        <w:t>询问未成年被害人，应当选择“一站式”取证场所、未成年人住所或者其他让未成年人心理上感到安全的场所进行，并通知法定代理人到场。法定代理人不能到场或者不宜到场的，应当通知其他合适成年人到场，并将相关情况记录在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询问未成年被害人，应当采取和缓的方式，以未成年人能够理解和接受的语言进行。坚持一次询问原则，尽可能避免多次反复询问，造成次生伤害。确有必要再次询问的，应当针对确有疑问需要核实的内容进行。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询问女性未成年被害人应当由女性工作人员进行。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第二十四条 </w:t>
      </w:r>
      <w:r>
        <w:t>询问未成年被害人应当进行同步录音录像。录音录像应当全程不间断进行，不得选择性录制，不得剪接、删改。录音录像声音、图像应当清晰稳定，被询问人面部应当清楚可辨，能够真实反映未成年被害人回答询问的状态。录音录像应当随案移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第二十五条 </w:t>
      </w:r>
      <w:r>
        <w:t>询问未成年被害人应当问明与性侵害犯罪有关的事实及情节，包括被害人的年龄等身份信息、与犯罪嫌疑人、被告人交往情况、侵害方式、时间、地点、次数、后果等。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询问尽量让被害人自由陈述，不得诱导，并将提问和未成年被害人的回答记录清楚。记录应当保持未成年人的语言特点，不得随意加工或者归纳。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第二十六条 </w:t>
      </w:r>
      <w:r>
        <w:t>未成年被害人陈述和犯罪嫌疑人、被告人供述中具有特殊性、非亲历不可知的细节，包括身体特征、行为特征和环境特征等，办案机关应当及时通过人身检查、现场勘查等调查取证方法固定证据。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第二十七条 </w:t>
      </w:r>
      <w:r>
        <w:t>能够证实未成年被害人和犯罪嫌疑人、被告人相识交往、矛盾纠纷及其异常表现、特殊癖好等情况，对完善证据链条、查清全部案情具有证明作用的证据，应当全面收集。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第二十八条 </w:t>
      </w:r>
      <w:r>
        <w:t>能够证实未成年人被性侵害后心理状况或者行为表现的证据，应当全面收集。未成年被害人出现心理创伤、精神抑郁或者自杀、自残等伤害后果的，应当及时检查、鉴定。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第二十九条 </w:t>
      </w:r>
      <w:r>
        <w:t>认定性侵害未成年人犯罪，应当坚持事实清楚，证据确实、充分，排除合理怀疑的证明标准。对案件事实的认定要立足证据，结合经验常识，考虑性侵害案件的特殊性和未成年人的身心特点，准确理解和把握证明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第三十条 </w:t>
      </w:r>
      <w:r>
        <w:t>对未成年被害人陈述，应当着重审查陈述形成的时间、背景，被害人年龄、认知、记忆和表达能力，生理和精神状态是否影响陈述的自愿性、完整性，陈述与其他证据之间能否相互印证，有无矛盾。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低龄未成年人对被侵害细节前后陈述存在不一致的，应当考虑其身心特点，综合判断其陈述的主要事实是否客观、真实。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未成年被害人陈述了与犯罪嫌疑人、被告人或者性侵害事实相关的非亲历不可知的细节，并且可以排除指证、诱证、诬告、陷害可能的，一般应当采信。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未成年被害人询问笔录记载的内容与询问同步录音录像记载的内容不一致的，应当结合同步录音录像记载准确客观认定。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对未成年证人证言的审查判断，依照本条前四款规定进行。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第三十一条 </w:t>
      </w:r>
      <w:r>
        <w:t>对十四周岁以上未成年被害人真实意志的判断，不以其明确表示反对或者同意为唯一证据，应当结合未成年被害人的年龄、身体状况、被侵害前后表现以及双方关系、案发环境、案发过程等进行综合判断。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r>
        <w:rPr>
          <w:rStyle w:val="5"/>
        </w:rPr>
        <w:t>四、未成年被害人保护与救助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第三十二条</w:t>
      </w:r>
      <w:r>
        <w:t> 人民法院、人民检察院、公安机关办理性侵害未成年人刑事案件，应当根据未成年被害人的实际需要及当地情况，协调有关部门为未成年被害人提供心理疏导、临时照料、医疗救治、转学安置、经济帮扶等救助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第三十三条 </w:t>
      </w:r>
      <w:r>
        <w:t>犯罪嫌疑人到案后，办案人员应当第一时间了解其有无艾滋病，发现犯罪嫌疑人患有艾滋病的，在征得未成年被害人监护人同意后，应当及时配合或者会同有关部门对未成年被害人采取阻断治疗等保护措施。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第三十四条 </w:t>
      </w:r>
      <w:r>
        <w:t>人民法院、人民检察院、公安机关办理性侵害未成年人刑事案件，发现未成年人的父母或者其他监护人不依法履行监护职责或者侵犯未成年人合法权益的，应当予以训诫，并书面督促其依法履行监护职责。必要时，可以责令未成年人父母或者其他监护人接受家庭教育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第三十五条 </w:t>
      </w:r>
      <w:r>
        <w:t>未成年人受到监护人性侵害，其他具有监护资格的人员、民政部门等有关单位和组织向人民法院提出申请，要求撤销监护人资格，另行指定监护人的，人民法院依法予以支持。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有关个人和组织未及时向人民法院申请撤销监护人资格的，人民检察院可以依法督促、支持其提起诉讼。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第三十六条 </w:t>
      </w:r>
      <w:r>
        <w:t>对未成年人因被性侵害而造成人身损害，不能及时获得有效赔偿，生活困难的，人民法院、人民检察院、公安机关可会同有关部门，优先考虑予以救助。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r>
        <w:rPr>
          <w:rStyle w:val="5"/>
        </w:rPr>
        <w:t>五、其他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第三十七条</w:t>
      </w:r>
      <w:r>
        <w:t> 人民法院、人民检察院、公安机关、司法行政机关应当积极推动侵害未成年人案件强制报告制度落实。未履行报告义务造成严重后果的，应当依照《中华人民共和国未成年人保护法》等法律法规追究责任。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第三十八条</w:t>
      </w:r>
      <w:r>
        <w:t> 人民法院、人民检察院、公安机关、司法行政机关应当推动密切接触未成年人相关行业依法建立完善准入查询性侵害违法犯罪信息制度，建立性侵害违法犯罪人员信息库，协助密切接触未成年人单位开展信息查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第三十九条</w:t>
      </w:r>
      <w:r>
        <w:t> 办案机关应当建立完善性侵害未成年人案件“一站式”办案救助机制，通过设立专门场所、配置专用设备、完善工作流程和引入专业社会力量等方式，尽可能一次性完成询问、人身检查、生物样本采集、侦查辨认等取证工作，同步开展救助保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r>
        <w:rPr>
          <w:rStyle w:val="5"/>
        </w:rPr>
        <w:t>六、附则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
        </w:rPr>
        <w:t>第四十条</w:t>
      </w:r>
      <w:r>
        <w:t> 本意见自2023年6月1日起施行。本意见施行后，《最高人民法院 最高人民检察院 公安部 司法部关于依法惩治性侵害未成年人犯罪的意见》（法发〔2013〕12号）同时废止。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11E47C79"/>
    <w:rsid w:val="257B589C"/>
    <w:rsid w:val="2E51761E"/>
    <w:rsid w:val="31BB55E1"/>
    <w:rsid w:val="5015592D"/>
    <w:rsid w:val="5E5A5E15"/>
    <w:rsid w:val="68143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2023-05-25T10:41:00Z</dcterms:created>
  <dc:creator>86132</dc:creator>
  <cp:lastModifiedBy>barracuda</cp:lastModifiedBy>
  <dcterms:modified xsi:type="dcterms:W3CDTF">2023-05-26T08:03:19Z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277A4A3D86074709B3764AFD5E81DAA9_12</vt:lpwstr>
  </property>
</Properties>
</file>