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Style w:val="5"/>
          <w:rFonts w:hint="eastAsia" w:asciiTheme="minorEastAsia" w:hAnsiTheme="minorEastAsia" w:eastAsiaTheme="minorEastAsia" w:cstheme="minorEastAsia"/>
          <w:sz w:val="21"/>
          <w:szCs w:val="21"/>
        </w:rPr>
      </w:pPr>
      <w:r>
        <w:rPr>
          <w:rStyle w:val="5"/>
          <w:rFonts w:hint="eastAsia" w:asciiTheme="minorEastAsia" w:hAnsiTheme="minorEastAsia" w:eastAsiaTheme="minorEastAsia" w:cstheme="minorEastAsia"/>
          <w:sz w:val="21"/>
          <w:szCs w:val="21"/>
        </w:rPr>
        <w:t>最高人民法院</w:t>
      </w:r>
    </w:p>
    <w:p>
      <w:pPr>
        <w:spacing w:line="240" w:lineRule="auto"/>
        <w:ind w:firstLine="2108" w:firstLineChars="1000"/>
        <w:jc w:val="left"/>
        <w:rPr>
          <w:rFonts w:hint="eastAsia" w:asciiTheme="minorEastAsia" w:hAnsiTheme="minorEastAsia" w:eastAsiaTheme="minorEastAsia" w:cstheme="minorEastAsia"/>
          <w:sz w:val="18"/>
          <w:szCs w:val="18"/>
        </w:rPr>
      </w:pPr>
      <w:bookmarkStart w:id="0" w:name="_GoBack"/>
      <w:bookmarkEnd w:id="0"/>
      <w:r>
        <w:rPr>
          <w:rStyle w:val="5"/>
          <w:rFonts w:hint="eastAsia" w:asciiTheme="minorEastAsia" w:hAnsiTheme="minorEastAsia" w:eastAsiaTheme="minorEastAsia" w:cstheme="minorEastAsia"/>
          <w:sz w:val="21"/>
          <w:szCs w:val="21"/>
        </w:rPr>
        <w:t>关于为深化新三板改革、设立北京证券交易所提供司法保障的若干意见</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深化新三板改革、设立北京证券交易所，是中央全面深化资本市场改革、完善资本市场基础制度、提升资本市场功能、支持中小企业创新发展的重要安排，也是落实创新驱动发展战略、推进北京国际科技创新中心和国家金融管理中心建设的重大举措。为充分发挥人民法院审判职能作用，保障深化新三板改革、设立北京证券交易所顺利推进，保护中小企业和投资者合法权益，现就人民法院正确审理新三板挂牌公司、北京证券交易所上市公司相关案件等问题，提出如下意见。　　　</w:t>
      </w:r>
    </w:p>
    <w:p>
      <w:pPr>
        <w:numPr>
          <w:ilvl w:val="0"/>
          <w:numId w:val="1"/>
        </w:numPr>
        <w:spacing w:line="240" w:lineRule="auto"/>
        <w:ind w:left="210" w:leftChars="0" w:firstLine="0" w:firstLineChars="0"/>
        <w:jc w:val="left"/>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color w:val="021EAA"/>
          <w:sz w:val="18"/>
          <w:szCs w:val="18"/>
        </w:rPr>
        <w:t>提高认识，全面把握深化新三板改革、设立北京证券交易所的重要意义和总体安排</w:t>
      </w:r>
      <w:r>
        <w:rPr>
          <w:rFonts w:hint="eastAsia" w:asciiTheme="minorEastAsia" w:hAnsiTheme="minorEastAsia" w:eastAsiaTheme="minorEastAsia" w:cstheme="minorEastAsia"/>
          <w:sz w:val="18"/>
          <w:szCs w:val="18"/>
        </w:rPr>
        <w:t>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cstheme="minorEastAsia"/>
          <w:sz w:val="18"/>
          <w:szCs w:val="18"/>
          <w:lang w:val="en-US" w:eastAsia="zh-CN"/>
        </w:rPr>
        <w:t>1.</w:t>
      </w:r>
      <w:r>
        <w:rPr>
          <w:rFonts w:hint="eastAsia" w:asciiTheme="minorEastAsia" w:hAnsiTheme="minorEastAsia" w:eastAsiaTheme="minorEastAsia" w:cstheme="minorEastAsia"/>
          <w:sz w:val="18"/>
          <w:szCs w:val="18"/>
        </w:rPr>
        <w:t>充分认识深化新三板改革、设立北京证券交易所的重要意义。党的十八大以来，党中央高度重视资本市场改革和中小企业发展工作。中央经济工作会议、“十四五”规划纲要和中央政治局会议都对发展“专精特新”中小企业和深化新三板改革作出了重要部署。立足于打造服务创新型中小企业主阵地，此次深化新三板改革，将新三板精选层变更设立为北京证券交易所，打通“创投基金和股权投资基金—区域性股权市场—新三板—证券交易所”中小企业持续成长的全链条市场服务体系，创造中小企业积极向上的良性市场生态，充分体现了以习近平同志为核心的党中央对资本市场服务广大中小企业发展的殷切希望。各级人民法院要坚持以习近平新时代中国特色社会主义思想为指导，认真贯彻落实习近平总书记关于资本市场和中小企业发展的一系列重要指示批示精神，依法妥善审理涉全国中小企业股份转让系统、北京证券交易所及其挂牌公司、上市公司的各类案件，为中小企业健康发展和多层次资本市场体系建设营造良好的司法环境。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准确把握深化新三板改革、设立北京证券交易所的总体安排。本次改革，新三板基础层、创新层和北京证券交易所聚焦服务创新型中小企业，形成“层层递进”的市场结构：北京证券交易所在新三板精选层基础上变更设立，新三板仍保留基础层和创新层挂牌公司，基础层挂牌公司符合创新层进层条件的，进入创新层；北京证券交易所上市公司从新三板创新层挂牌公司产生，同步试点股票发行注册制；与沪深市场相比，北京证券交易所拥有相同的法律地位和市场功能，其上市公司符合转板条件的，可转到创业板和科创板上市。北京证券交易所与沪深交易所、区域性股权市场坚持错位发展与互联互通，重在实现“三个目标”：一是构建一套契合创新型中小企业特点的基础制度安排，二是畅通北京证券交易所在多层次资本市场的纽带作用，三是培育一批“专精特新”中小企业，形成良性市场生态。各级人民法院要立足证券刑事、民事和行政审判实际，深刻认识多层次资本市场 “层层递进”市场结构的多层次司法需求，通过司法审判推动形成市场参与各方依法依约行为、资金信息有序流动、主体归位尽责及合法权益得到有效保护的良好市场生态，为投资者放心投资、中小企业大胆创新创业提供有力司法保障。　　　　</w:t>
      </w:r>
    </w:p>
    <w:p>
      <w:pPr>
        <w:numPr>
          <w:ilvl w:val="0"/>
          <w:numId w:val="0"/>
        </w:numPr>
        <w:spacing w:line="240" w:lineRule="auto"/>
        <w:ind w:firstLine="181" w:firstLineChars="100"/>
        <w:jc w:val="left"/>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color w:val="021EAA"/>
          <w:sz w:val="18"/>
          <w:szCs w:val="18"/>
        </w:rPr>
        <w:t>二、靠前发力，依法保障深化新三板改革、设立北京证券交易所重大部署顺利推进</w:t>
      </w:r>
      <w:r>
        <w:rPr>
          <w:rFonts w:hint="eastAsia" w:asciiTheme="minorEastAsia" w:hAnsiTheme="minorEastAsia" w:eastAsiaTheme="minorEastAsia" w:cstheme="minorEastAsia"/>
          <w:sz w:val="18"/>
          <w:szCs w:val="18"/>
        </w:rPr>
        <w:t>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依法保障证券监管部门行政监管和北京证券交易所自律管理。设立北京证券交易所并试点注册制，除在前端进行发行上市制度改革外，证券监管部门和北京证券交易所根据创新型中小企业的特点，对上市公司再融资、并购重组、交易、退市等配套制度进行了完善。各级人民法院要立足司法审判，通过统一法律适用保障各项改革举措有效实施，支持多层次资本市场发展普惠金融。对于证券监管部门、证券交易所经法定程序制定的、与法律法规不相抵触的股票发行、上市、持续监管等规章、规范性文件和业务规则的相关规定，人民法院可以在审理案件时依法参照适用。对于北京证券交易所所涉纠纷，要积极引导当事人先行通过证券交易所听证、复核等程序表达诉求，寻求救济。严格执行证券法有关保障证券交易所履行自律管理职能的有关规定，依法落实证券交易所正当自律管理行为民事责任豁免原则。　　　　</w:t>
      </w:r>
      <w:r>
        <w:rPr>
          <w:rFonts w:hint="eastAsia" w:asciiTheme="minorEastAsia" w:hAnsiTheme="minorEastAsia" w:cstheme="minorEastAsia"/>
          <w:sz w:val="18"/>
          <w:szCs w:val="18"/>
          <w:lang w:val="en-US" w:eastAsia="zh-CN"/>
        </w:rPr>
        <w:t xml:space="preserve">             4.</w:t>
      </w:r>
      <w:r>
        <w:rPr>
          <w:rFonts w:hint="eastAsia" w:asciiTheme="minorEastAsia" w:hAnsiTheme="minorEastAsia" w:eastAsiaTheme="minorEastAsia" w:cstheme="minorEastAsia"/>
          <w:sz w:val="18"/>
          <w:szCs w:val="18"/>
        </w:rPr>
        <w:t>充分尊重新三板作为国务院批准的全国性证券交易场所的改革实践和业务规则。新三板为证券法规定的国务院批准的全国性证券交易场所。由于证券法对全国性证券交易场所的规定相对比较原则，新三板在深化改革中探索出一套以证券监管部门规章、规范性文件以及证券交易场所业务规则为主，适应“层层递进”市场结构安排的挂牌转让、持续监管等制度体系。人民法院在事实认定和法律适用过程中，应充分尊重相关改革实践，参照适用依法制定的相关规章、规范性文件、业务规则，切实维护新三板市场秩序，保护投资者合法权益。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对北京证券交易所及其上市公司所涉案件集中管辖。根据《最高人民法院关于北京金融法院案件管辖的规定》（法释〔2021〕7号）相关规定，对于以北京证券交易所为被告或者第三人的与证券交易场所管理职能相关的第一审证券民商事和行政案件，由北京金融法院管辖。为统一裁判标准，稳定市场司法预期，服务北京国家金融管理中心建设，参照《最高人民法院关于北京金融法院案件管辖的规定》第三条的规定，对北京证券交易所上市公司所涉证券发行纠纷、证券承销合同纠纷、证券上市保荐合同纠纷、证券上市合同纠纷、证券交易合同纠纷和证券欺诈责任纠纷等第一审金融民商事案件，由北京金融法院试点集中管辖。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全面参照执行科创板、创业板司法保障意见的各项司法举措。本次设立北京证券交易所并试点注册制改革充分借鉴和吸收了科创板、创业板试点注册制改革经验，并针对中小企业特点作了部分差异化安排。各级人民法院在审理涉北京证券交易所相关案件时，要增强为设立北京证券交易所并试点注册制提供司法保障的自觉性和主动性，本意见未规定的，参照适用《最高人民法院关于为设立科创板并试点注册制改革提供司法保障的若干意见》（法发〔2019〕17号）、《最高人民法院关于为创业板改革并试点注册制提供司法保障的若干意见》（法发〔2020〕28号）。　　　　</w:t>
      </w:r>
    </w:p>
    <w:p>
      <w:pPr>
        <w:numPr>
          <w:ilvl w:val="0"/>
          <w:numId w:val="0"/>
        </w:numPr>
        <w:spacing w:line="240" w:lineRule="auto"/>
        <w:ind w:firstLine="181" w:firstLineChars="100"/>
        <w:jc w:val="left"/>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color w:val="021EAA"/>
          <w:sz w:val="18"/>
          <w:szCs w:val="18"/>
        </w:rPr>
        <w:t>三、主动作为，以优质司法服务支持中小企业借助资本市场做大做强</w:t>
      </w:r>
      <w:r>
        <w:rPr>
          <w:rFonts w:hint="eastAsia" w:asciiTheme="minorEastAsia" w:hAnsiTheme="minorEastAsia" w:eastAsiaTheme="minorEastAsia" w:cstheme="minorEastAsia"/>
          <w:sz w:val="18"/>
          <w:szCs w:val="18"/>
        </w:rPr>
        <w:t>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依法支持证券中介机构服务中小企业挂牌上市融资。相较于沪深上市公司，新三板基础层、创新层和北京证券交易所的创新型中小企业处于发展早期，规模体量相对较小。各级人民法院在审理涉中小企业及其证券中介机构虚假陈述案件时，要立足被诉中小企业尚属创业成长阶段这一实际，准确完整理解《最高人民法院关于审理证券市场虚假陈述侵权民事赔偿案件的若干规定》（法释〔2022〕2号，以下简称《虚假陈述司法解释》）所秉持的证券中介机构责任承担与注意义务、注意能力和过错程度相适应原则，力戒“一刀切”。要准确适用《虚假陈述司法解释》第十七条至第十九条的规定，对服务中小企业的证券中介机构的过错认定，坚持排除职业怀疑后的合理信赖标准，提高裁判标准的包容性和精准性。要正确厘清新三板挂牌公司主办券商与上市公司保荐机构职责之间的差异，按照《虚假陈述司法解释》第二十三条的规定，审慎判定主办券商的责任范围，防止过分苛责证券中介机构产生“寒蝉效应”。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按照“层层递进”的市场结构对虚假陈述民事责任予以区别对待。人民法院在认定虚假陈述内容是否符合《虚假陈述司法解释》第十条规定的重大性标准时，应当尊重创新型中小企业的创业期成长特点，对其信息披露质量的司法审查标准不宜等同于发展成熟期的沪深上市公司，做到宽严适度：对于财务报表中的不实记载系由会计差错造成的，在信息披露文件中的技术创新、研发预期等无法量化内容的宣传进行合理商业宣传的，以及信息披露文件中未予指明的相关事实对于判断发行人的财务、业务和经营状况等无足轻重的，人民法院可视情形根据《虚假陈述司法解释》第六条第一款、第十条第三款等规定，认定该虚假陈述内容不具有重大性，为创新型中小企业创业创新营造良好环境。因北京证券交易所上市公司的财务造假等违法违规行为，部分可能追溯至其在新三板挂牌期间，对于该类案件，人民法院要结合其跨新三板基础层、创新层和北京证券交易所期间的信息披露等行为，准确把握不同阶段的信息披露要求，综合认定其违法违规行为及其实施日等要素，不得随意延展其虚假陈述实施日的时间范围，防止上市中小企业民事赔偿责任不当扩大。要尊重新三板市场流动性及价格连续性与交易所市场存在较大差距的客观实际，人民法院在新三板挂牌公司虚假陈述案件损失计算上，不宜直接适用《虚假陈述司法解释》第二十七条和第二十八条的规定，而应主要根据第二十六条第五款的规定充分听取专业意见，以对相关行业企业进行投资时的通常估值方法等为参考，综合考量各项因素，合理确定投资者损失。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秉持资本市场“三公”原则依法降低中小企业融资交易成本。畅通资本市场直接融资途径，是解决中小企业“融资难、融资贵”的有效举措。对于创新型中小企业的上市和再融资，不仅要打通多层次资本市场“扶上马”，还要秉持公开、公平、公正原则“送一程”。在上市过程中，对于为获得融资而与投资方签订的“业绩对赌协议”，如未明确约定公司非控股股东与控股股东或者实际控制人就业绩补偿承担连带责任的，对投资方要求非控股股东向其承担连带责任的诉讼请求，人民法院不予支持。在上市公司定向增发等再融资过程中，对于投资方利用优势地位与上市公司及其控股股东、实际控制人或者主要股东订立的“定增保底”性质条款，因其赋予了投资方优越于其他同种类股东的保证收益特殊权利，变相推高了中小企业融资成本，违反了证券法公平原则和相关监管规定，人民法院应依法认定该条款无效。为降低中小企业上市成本，对于证券中介机构以其与发行人及其控股股东、实际控制人等在上市保荐、承销协议、持续督导等相关协议中存在约定为由，请求补偿其因发行人虚假陈述所承担的赔偿责任的，人民法院不予支持。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优化审判执行程序降低创新型中小企业诉讼成本。各级人民法院要认真贯彻落实《最高人民法院关于充分发挥司法职能作用助力中小微企业发展的指导意见》（法发〔2022〕2号）精神，处理可能对创新型中小企业持续稳定经营造成较大影响的诉讼案件时，要充分听取中小企业的诉求，依法充分优化立案、保全、审理、执行等诉讼程序，切实降低企业诉讼时间成本和经济成本。对创新型中小企业要依法审慎采取财产保全措施，经初步审查认为当事人的诉讼请求明显不能成立的，依法驳回保全申请。当事人超出诉讼请求范围申请保全的，对超出部分的申请，不予支持。在金钱债权案件中，被采取保全措施的中小企业提供担保请求解除保全措施，经审查认为担保充分有效的，应当裁定准许，不得以申请保全人同意为必要条件。各级人民法院应当依托12368诉讼服务热线、执行信访等问题反映渠道，建立解决超标的查封、乱查封问题快速反应机制，对当事人反映的问题及时受理，快速处理；执行人员对超标的查封、乱查封问题存在过错的，依法严肃追责。　　　　</w:t>
      </w:r>
    </w:p>
    <w:p>
      <w:pPr>
        <w:numPr>
          <w:ilvl w:val="0"/>
          <w:numId w:val="0"/>
        </w:numPr>
        <w:spacing w:line="240" w:lineRule="auto"/>
        <w:ind w:firstLine="181" w:firstLineChars="100"/>
        <w:jc w:val="left"/>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color w:val="021EAA"/>
          <w:sz w:val="18"/>
          <w:szCs w:val="18"/>
        </w:rPr>
        <w:t>四、恪守底线，依法有效保护投资者合法权益</w:t>
      </w:r>
      <w:r>
        <w:rPr>
          <w:rFonts w:hint="eastAsia" w:asciiTheme="minorEastAsia" w:hAnsiTheme="minorEastAsia" w:eastAsiaTheme="minorEastAsia" w:cstheme="minorEastAsia"/>
          <w:sz w:val="18"/>
          <w:szCs w:val="18"/>
        </w:rPr>
        <w:t>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11.严厉打击涉新三板基础层、创新层和北京证券交易所市场违法犯罪行为。充分发挥刑事责任追究的一般预防和特殊预防功能，严防“带病闯关”，依法从严惩处通过财务造假等方式实现在新三板挂牌、北京证券交易所上市或者挂牌、上市后发行证券引发的欺诈、腐败等犯罪行为。对于发行人与证券中介机构合谋串通在证券发行文件中隐瞒重要事实或者编造重大虚假内容，以及发行审核、注册工作人员以权谋私、收受贿赂或者接受利益输送的，依法从严追究刑事责任；依法严惩违规披露、不披露重要信息、内幕交易、利用未公开信息交易、操纵证券市场、背信损害上市公司利益等犯罪，依法加大财产刑处罚力度，严格控制缓刑适用。对于假借新三板名义非法集资行为，以“新三板挂牌公司原始股”名义吸引投资者、未经合规发行程序违规募集资金，构成犯罪的，依法从严惩处。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切实防止上市公司、挂牌公司通过破产程序损害投资者合法权益。《最高人民法院关于审理上市公司破产重整案件工作座谈会纪要》施行以来，人民法院依法审理部分上市公司破产重整案件，最大限度减少因上市公司破产程序给社会造成的不良影响，实现法律效果和社会效果的统一。北京证券交易所上市公司与沪深上市公司法律地位相同，对其破产重整案件，人民法院应当适用前述纪要办理。新三板挂牌公司虽因不具有法定上市公司地位，其破产重整案件不适用前述纪要程序，但其作为非上市公众公司，破产重整也涉及投资者、债权人等多方利益保护。为防止挂牌公司滥用破产重整程序逃废债务、损害投资者合法权益，人民法院在审理破产重整案件时，对于挂牌公司在破产重整过程中涉及资产交易并达到重大资产重组标准的，应加强与证券监管部门和证券交易场所的沟通协作，督促公司及相关主体依法履行相应程序，在司法程序中关注注入资产的合规情况等，依法惩处规避证券监管、损害公司和投资者合法权益的违法违规行为。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依法规范证券投资咨询机构对新三板基础层、创新层和北京证券交易所市场的投资建议服务。新三板挂牌公司和北京证券交易所上市公司以中小企业为主，企业投资风险相对较高。各级人民法院在依法适用投资者适当性管理义务规定督促证券公司把好投资者“入口关”的同时，也要准确适用证券法第一百六十一条的规定督促证券投资咨询机构尽责归位。对于涉新三板挂牌公司和北京证券交易所上市公司的投资者诉证券投资咨询机构民事赔偿案件的审理，应重点审查该机构及其从业人员是否具有投资服务资质、提供投资建议时是否按照客观谨慎、忠实客户的原则，对于证券投资咨询机构未向投资者提示潜在投资风险、向客户承诺保证收益、进行利益输送等违反监管规定和行业自律规定的欺诈投资者行为，应依法判令其承担相应赔偿责任，切实保护投资者合法权益。　　　　</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进一步健全证券诉讼和纠纷多元化解机制。各级人民法院要认真遵照执行《最高人民法院关于证券纠纷代表人诉讼若干问题的规定》（法释〔2020〕5号），充分发挥证券集体诉讼震慑证券违法和保护投资者的制度功能。要运用人民法院一站式多元纠纷解决机制建设成果，发挥人民法院调解平台在化解证券纠纷中的重要作用，完善有机衔接、协调联动、高效便捷的证券纠纷多元化解机制。要立足新三板基础层、创新层和北京证券交易所市场的特点，进一步发挥专业力量在解决案件关键性争议焦点中的支持作用，加快制定专家证人的资格认定和管理办法，进一步发挥专家证人在案件审理中的作用，确保正确认定事实和适用法律。</w:t>
      </w:r>
    </w:p>
    <w:p>
      <w:pPr>
        <w:numPr>
          <w:ilvl w:val="0"/>
          <w:numId w:val="0"/>
        </w:numPr>
        <w:spacing w:line="240" w:lineRule="auto"/>
        <w:ind w:firstLine="180" w:firstLineChars="100"/>
        <w:jc w:val="left"/>
        <w:rPr>
          <w:rFonts w:hint="eastAsia" w:asciiTheme="minorEastAsia" w:hAnsiTheme="minorEastAsia" w:eastAsiaTheme="minorEastAsia" w:cstheme="minorEastAsia"/>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附《</w:t>
      </w:r>
      <w:r>
        <w:rPr>
          <w:rStyle w:val="5"/>
          <w:rFonts w:hint="eastAsia" w:ascii="宋体" w:hAnsi="宋体" w:eastAsia="宋体" w:cs="宋体"/>
          <w:b/>
          <w:bCs/>
          <w:i w:val="0"/>
          <w:iCs w:val="0"/>
          <w:caps w:val="0"/>
          <w:color w:val="222222"/>
          <w:spacing w:val="8"/>
          <w:sz w:val="18"/>
          <w:szCs w:val="18"/>
          <w:shd w:val="clear" w:fill="FFFFFF"/>
        </w:rPr>
        <w:t>最高人民法院关于审理证券市场虚假陈述侵权民事赔偿案件的若干规定</w:t>
      </w:r>
      <w:r>
        <w:rPr>
          <w:rFonts w:hint="eastAsia" w:asciiTheme="minorEastAsia" w:hAnsiTheme="minorEastAsia" w:cstheme="minorEastAsia"/>
          <w:b/>
          <w:bCs/>
          <w:sz w:val="18"/>
          <w:szCs w:val="18"/>
          <w:lang w:val="en-US" w:eastAsia="zh-CN"/>
        </w:rPr>
        <w:t>》有关条文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第六条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原告以信息披露文件中的盈利预测、发展规划等预测性信息与实际经营情况存在重大差异为由主张发行人实施虚假陈述的，人民法院不予支持，但有下列情形之一的除外：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（一）信息披露文件未对影响该预测实现的重要因素进行充分风险提示的；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（二）预测性信息所依据的基本假设、选用的会计政策等编制基础明显不合理的；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（三）预测性信息所依据的前提发生重大变化时，未及时履行更正义务的。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shd w:val="clear" w:fill="FFFFFF"/>
        </w:rPr>
      </w:pPr>
      <w:r>
        <w:rPr>
          <w:rFonts w:hint="eastAsia" w:ascii="宋体" w:hAnsi="宋体" w:eastAsia="宋体" w:cs="宋体"/>
          <w:i w:val="0"/>
          <w:iCs w:val="0"/>
          <w:caps w:val="0"/>
          <w:color w:val="222222"/>
          <w:spacing w:val="8"/>
          <w:sz w:val="18"/>
          <w:szCs w:val="18"/>
          <w:shd w:val="clear" w:fill="FFFFFF"/>
        </w:rPr>
        <w:t>前款所称的重大差异，可以参照监管部门和证券交易场所的有关规定认定。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第十条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有下列情形之一的，人民法院应当认定虚假陈述的内容具有重大性：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（一）虚假陈述的内容属于证券法第八十条第二款、第八十一条第二款规定的重大事件；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（二）虚假陈述的内容属于监管部门制定的规章和规范性文件中要求披露的重大事件或者重要事项；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（三）虚假陈述的实施、揭露或者更正导致相关证券的交易价格或者交易量产生明显的变化。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前款第一项、第二项所列情形，被告提交证据足以证明虚假陈述并未导致相关证券交易价格或者交易量明显变化的，人民法院应当认定虚假陈述的内容不具有重大性。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shd w:val="clear" w:fill="FFFFFF"/>
        </w:rPr>
      </w:pPr>
      <w:r>
        <w:rPr>
          <w:rFonts w:hint="eastAsia" w:ascii="宋体" w:hAnsi="宋体" w:eastAsia="宋体" w:cs="宋体"/>
          <w:i w:val="0"/>
          <w:iCs w:val="0"/>
          <w:caps w:val="0"/>
          <w:color w:val="222222"/>
          <w:spacing w:val="8"/>
          <w:sz w:val="18"/>
          <w:szCs w:val="18"/>
          <w:shd w:val="clear" w:fill="FFFFFF"/>
        </w:rPr>
        <w:t>被告能够证明虚假陈述不具有重大性，并以此抗辩不应当承担民事责任的，人民法院应当予以支持。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第十七条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保荐机构、承销机构等机构及其直接责任人员提交的尽职调查工作底稿、尽职调查报告、内部审核意见等证据能够证明下列情形的，人民法院应当认定其没有过错：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（一）已经按照法律、行政法规、监管部门制定的规章和规范性文件、相关行业执业规范的要求，对信息披露文件中的相关内容进行了审慎尽职调查；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（二）对信息披露文件中没有证券服务机构专业意见支持的重要内容，经过审慎尽职调查和独立判断，有合理理由相信该部分内容与真实情况相符；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（三）对信息披露文件中证券服务机构出具专业意见的重要内容，经过审慎核查和必要的调查、复核，有合理理由排除了职业怀疑并形成合理信赖。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在全国中小企业股份转让系统从事挂牌和定向发行推荐业务的证券公司，适用前款规定。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第十八条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会计师事务所、律师事务所、资信评级机构、资产评估机构、财务顾问等证券服务机构制作、出具的文件存在虚假陈述的，人民法院应当按照法律、行政法规、监管部门制定的规章和规范性文件，参考行业执业规范规定的工作范围和程序要求等内容，结合其核查、验证工作底稿等相关证据，认定其是否存在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证券服务机构的责任限于其工作范围和专业领域。证券服务机构依赖保荐机构或者其他证券服务机构的基础工作或者专业意见致使其出具的专业意见存在虚假陈述，能够证明其对所依赖的基础工作或者专业意见经过审慎核查和必要的调查、复核，排除了职业怀疑并形成合理信赖的，人民法院应当认定其没有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第十九条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会计师事务所能够证明下列情形之一的，人民法院应当认定其没有过错：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（一）按照执业准则、规则确定的工作程序和核查手段并保持必要的职业谨慎，仍未发现被审计的会计资料存在错误的；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（二）审计业务必须依赖的金融机构、发行人的供应商、客户等相关单位提供不实证明文件，会计师事务所保持了必要的职业谨慎仍未发现的；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Fonts w:hint="eastAsia" w:ascii="宋体" w:hAnsi="宋体" w:eastAsia="宋体" w:cs="宋体"/>
          <w:i w:val="0"/>
          <w:iCs w:val="0"/>
          <w:caps w:val="0"/>
          <w:color w:val="222222"/>
          <w:spacing w:val="8"/>
          <w:sz w:val="18"/>
          <w:szCs w:val="18"/>
          <w:shd w:val="clear" w:fill="FFFFFF"/>
        </w:rPr>
        <w:t>（三）已对发行人的舞弊迹象提出警告并在审计业务报告中发表了审慎审计意见的；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shd w:val="clear" w:fill="FFFFFF"/>
        </w:rPr>
      </w:pPr>
      <w:r>
        <w:rPr>
          <w:rFonts w:hint="eastAsia" w:ascii="宋体" w:hAnsi="宋体" w:eastAsia="宋体" w:cs="宋体"/>
          <w:i w:val="0"/>
          <w:iCs w:val="0"/>
          <w:caps w:val="0"/>
          <w:color w:val="222222"/>
          <w:spacing w:val="8"/>
          <w:sz w:val="18"/>
          <w:szCs w:val="18"/>
          <w:shd w:val="clear" w:fill="FFFFFF"/>
        </w:rPr>
        <w:t>（四）能够证明没有过错的其他情形。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222222"/>
          <w:spacing w:val="8"/>
          <w:sz w:val="18"/>
          <w:szCs w:val="18"/>
        </w:rPr>
      </w:pPr>
      <w:r>
        <w:rPr>
          <w:rStyle w:val="5"/>
          <w:rFonts w:hint="eastAsia" w:ascii="宋体" w:hAnsi="宋体" w:eastAsia="宋体" w:cs="宋体"/>
          <w:i w:val="0"/>
          <w:iCs w:val="0"/>
          <w:caps w:val="0"/>
          <w:color w:val="222222"/>
          <w:spacing w:val="8"/>
          <w:sz w:val="18"/>
          <w:szCs w:val="18"/>
          <w:shd w:val="clear" w:fill="FFFFFF"/>
        </w:rPr>
        <w:t>第二十三条</w:t>
      </w:r>
      <w:r>
        <w:rPr>
          <w:rStyle w:val="5"/>
          <w:rFonts w:hint="eastAsia" w:ascii="宋体" w:hAnsi="宋体" w:eastAsia="宋体" w:cs="宋体"/>
          <w:i w:val="0"/>
          <w:iCs w:val="0"/>
          <w:caps w:val="0"/>
          <w:color w:val="222222"/>
          <w:spacing w:val="8"/>
          <w:sz w:val="18"/>
          <w:szCs w:val="18"/>
          <w:shd w:val="clear" w:fill="FFFFFF"/>
          <w:lang w:val="en-US" w:eastAsia="zh-CN"/>
        </w:rPr>
        <w:t xml:space="preserve">  </w:t>
      </w:r>
      <w:r>
        <w:rPr>
          <w:rFonts w:hint="eastAsia" w:ascii="宋体" w:hAnsi="宋体" w:eastAsia="宋体" w:cs="宋体"/>
          <w:i w:val="0"/>
          <w:iCs w:val="0"/>
          <w:caps w:val="0"/>
          <w:color w:val="222222"/>
          <w:spacing w:val="8"/>
          <w:sz w:val="18"/>
          <w:szCs w:val="18"/>
          <w:shd w:val="clear" w:fill="FFFFFF"/>
        </w:rPr>
        <w:t>承担连带责任的当事人之间的责任分担与追偿，按照民法典第一百七十八条的规定处理，但本规定第二十条第二款规定的情形除外。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宋体" w:hAnsi="宋体" w:eastAsia="宋体" w:cs="宋体"/>
          <w:i w:val="0"/>
          <w:iCs w:val="0"/>
          <w:caps w:val="0"/>
          <w:color w:val="222222"/>
          <w:spacing w:val="8"/>
          <w:sz w:val="18"/>
          <w:szCs w:val="18"/>
          <w:shd w:val="clear" w:fill="FFFFFF"/>
        </w:rPr>
      </w:pPr>
      <w:r>
        <w:rPr>
          <w:rFonts w:hint="eastAsia" w:ascii="宋体" w:hAnsi="宋体" w:eastAsia="宋体" w:cs="宋体"/>
          <w:i w:val="0"/>
          <w:iCs w:val="0"/>
          <w:caps w:val="0"/>
          <w:color w:val="222222"/>
          <w:spacing w:val="8"/>
          <w:sz w:val="18"/>
          <w:szCs w:val="18"/>
          <w:shd w:val="clear" w:fill="FFFFFF"/>
        </w:rPr>
        <w:t>保荐机构、承销机构等责任主体以存在约定为由，请求发行人或者其控股股东、实际控制人补偿其因虚假陈述所承担的赔偿责任的，人民法院不予支持。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Style w:val="5"/>
          <w:rFonts w:hint="eastAsia" w:ascii="宋体" w:hAnsi="宋体" w:eastAsia="宋体" w:cs="宋体"/>
          <w:sz w:val="18"/>
          <w:szCs w:val="18"/>
        </w:rPr>
        <w:t>第二十六条</w:t>
      </w:r>
      <w:r>
        <w:rPr>
          <w:rStyle w:val="5"/>
          <w:rFonts w:hint="eastAsia" w:ascii="宋体" w:hAnsi="宋体" w:eastAsia="宋体" w:cs="宋体"/>
          <w:sz w:val="18"/>
          <w:szCs w:val="18"/>
          <w:lang w:val="en-US" w:eastAsia="zh-CN"/>
        </w:rPr>
        <w:t xml:space="preserve">  </w:t>
      </w:r>
      <w:r>
        <w:rPr>
          <w:rFonts w:hint="eastAsia" w:ascii="宋体" w:hAnsi="宋体" w:eastAsia="宋体" w:cs="宋体"/>
          <w:sz w:val="18"/>
          <w:szCs w:val="18"/>
        </w:rPr>
        <w:t>投资差额损失计算的基准日，是指在虚假陈述揭露或更正后，为将原告应获赔偿限定在虚假陈述所造成的损失范围内，确定损失计算的合理期间而规定的截止日期。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ascii="宋体" w:hAnsi="宋体" w:eastAsia="宋体" w:cs="宋体"/>
          <w:sz w:val="18"/>
          <w:szCs w:val="18"/>
        </w:rPr>
      </w:pPr>
      <w:r>
        <w:rPr>
          <w:rFonts w:hint="eastAsia" w:ascii="宋体" w:hAnsi="宋体" w:eastAsia="宋体" w:cs="宋体"/>
          <w:sz w:val="18"/>
          <w:szCs w:val="18"/>
        </w:rPr>
        <w:t>在采用集中竞价的交易市场中，自揭露日或更正日起，被虚假陈述影响的证券集中交易累计成交量达到可流通部分100％之日为基准日。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200"/>
        <w:rPr>
          <w:rFonts w:hint="eastAsia" w:ascii="宋体" w:hAnsi="宋体" w:eastAsia="宋体" w:cs="宋体"/>
          <w:sz w:val="18"/>
          <w:szCs w:val="18"/>
        </w:rPr>
      </w:pPr>
      <w:r>
        <w:rPr>
          <w:rFonts w:hint="eastAsia" w:ascii="宋体" w:hAnsi="宋体" w:eastAsia="宋体" w:cs="宋体"/>
          <w:sz w:val="18"/>
          <w:szCs w:val="18"/>
        </w:rPr>
        <w:t>自揭露日或更正日起，集中交易累计换手率在10个交易日内达到可流通部分100%的，以第10个交易日为基准日；在30个交易日内未达到可流通部分100%的，以第30个交易日为基准日。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rPr>
        <w:t>虚假陈述揭露日或更正日起至基准日期间每个交易日收盘价的平均价格，为损失计算的基准价格。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200"/>
        <w:rPr>
          <w:rFonts w:hint="eastAsia" w:ascii="宋体" w:hAnsi="宋体" w:eastAsia="宋体" w:cs="宋体"/>
          <w:sz w:val="18"/>
          <w:szCs w:val="18"/>
        </w:rPr>
      </w:pPr>
      <w:r>
        <w:rPr>
          <w:rFonts w:hint="eastAsia" w:ascii="宋体" w:hAnsi="宋体" w:eastAsia="宋体" w:cs="宋体"/>
          <w:sz w:val="18"/>
          <w:szCs w:val="18"/>
        </w:rPr>
        <w:t>无法依前款规定确定基准价格的，人民法院可以根据有专门知识的人的专业意见，参考对相关行业进行投资时的通常估值方法，确定基准价格。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Style w:val="5"/>
          <w:rFonts w:hint="eastAsia" w:ascii="宋体" w:hAnsi="宋体" w:eastAsia="宋体" w:cs="宋体"/>
          <w:sz w:val="18"/>
          <w:szCs w:val="18"/>
        </w:rPr>
        <w:t>第二十七条</w:t>
      </w:r>
      <w:r>
        <w:rPr>
          <w:rStyle w:val="5"/>
          <w:rFonts w:hint="eastAsia" w:ascii="宋体" w:hAnsi="宋体" w:eastAsia="宋体" w:cs="宋体"/>
          <w:sz w:val="18"/>
          <w:szCs w:val="18"/>
          <w:lang w:val="en-US" w:eastAsia="zh-CN"/>
        </w:rPr>
        <w:t xml:space="preserve">  </w:t>
      </w:r>
      <w:r>
        <w:rPr>
          <w:rFonts w:hint="eastAsia" w:ascii="宋体" w:hAnsi="宋体" w:eastAsia="宋体" w:cs="宋体"/>
          <w:sz w:val="18"/>
          <w:szCs w:val="18"/>
        </w:rPr>
        <w:t>在采用集中竞价的交易市场中，原告因虚假陈述买入相关股票所造成的投资差额损失，按照下列方法计算：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rPr>
        <w:t>（一）原告在实施日之后、揭露日或更正日之前买入，在揭露日或更正日之后、基准日之前卖出的股票，按买入股票的平均价格与卖出股票的平均价格之间的差额，乘以已卖出的股票数量；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rPr>
        <w:t>（二）原告在实施日之后、揭露日或更正日之前买入，基准日之前未卖出的股票，按买入股票的平均价格与基准价格之间的差额，乘以未卖出的股票数量。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Style w:val="5"/>
          <w:rFonts w:hint="eastAsia" w:ascii="宋体" w:hAnsi="宋体" w:eastAsia="宋体" w:cs="宋体"/>
          <w:sz w:val="18"/>
          <w:szCs w:val="18"/>
        </w:rPr>
        <w:t>第二十八条</w:t>
      </w:r>
      <w:r>
        <w:rPr>
          <w:rStyle w:val="5"/>
          <w:rFonts w:hint="eastAsia" w:ascii="宋体" w:hAnsi="宋体" w:eastAsia="宋体" w:cs="宋体"/>
          <w:sz w:val="18"/>
          <w:szCs w:val="18"/>
          <w:lang w:val="en-US" w:eastAsia="zh-CN"/>
        </w:rPr>
        <w:t xml:space="preserve">  </w:t>
      </w:r>
      <w:r>
        <w:rPr>
          <w:rFonts w:hint="eastAsia" w:ascii="宋体" w:hAnsi="宋体" w:eastAsia="宋体" w:cs="宋体"/>
          <w:sz w:val="18"/>
          <w:szCs w:val="18"/>
        </w:rPr>
        <w:t>在采用集中竞价的交易市场中，原告因虚假陈述卖出相关股票所造成的投资差额损失，按照下列方法计算：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rPr>
        <w:t>（一）原告在实施日之后、揭露日或更正日之前卖出，在揭露日或更正日之后、基准日之前买回的股票，按买回股票的平均价格与卖出股票的平均价格之间的差额，乘以买回的股票数量；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sz w:val="18"/>
          <w:szCs w:val="18"/>
        </w:rPr>
        <w:t>（二）原告在实施日之后、揭露日或更正日之前卖出，基准日之前未买回的股票，按基准价格与卖出股票的平均价格之间的差额，乘以未买回的股票数量。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18"/>
          <w:szCs w:val="18"/>
          <w:lang w:val="en-US" w:eastAsia="zh-CN"/>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A7DD87"/>
    <w:multiLevelType w:val="singleLevel"/>
    <w:tmpl w:val="E2A7DD87"/>
    <w:lvl w:ilvl="0" w:tentative="0">
      <w:start w:val="1"/>
      <w:numFmt w:val="chineseCounting"/>
      <w:suff w:val="nothing"/>
      <w:lvlText w:val="%1、"/>
      <w:lvlJc w:val="left"/>
      <w:pPr>
        <w:ind w:left="21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hOTgzNGM2ZjdjODUxNDI1OWIzNWIyNTM5NDQzODQifQ=="/>
  </w:docVars>
  <w:rsids>
    <w:rsidRoot w:val="00000000"/>
    <w:rsid w:val="26F87A5C"/>
    <w:rsid w:val="57733CAF"/>
    <w:rsid w:val="76D56F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7868</Words>
  <Characters>7923</Characters>
  <Lines>0</Lines>
  <Paragraphs>0</Paragraphs>
  <TotalTime>17</TotalTime>
  <ScaleCrop>false</ScaleCrop>
  <LinksUpToDate>false</LinksUpToDate>
  <CharactersWithSpaces>8028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barracuda</cp:lastModifiedBy>
  <dcterms:modified xsi:type="dcterms:W3CDTF">2022-06-30T06:33:13Z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DB51C43930EA4BC09331979B46926444</vt:lpwstr>
  </property>
</Properties>
</file>