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eastAsia" w:ascii="宋体" w:hAnsi="宋体" w:eastAsia="宋体" w:cs="宋体"/>
          <w:sz w:val="18"/>
          <w:szCs w:val="18"/>
        </w:rPr>
      </w:pPr>
      <w:bookmarkStart w:id="0" w:name="_GoBack"/>
      <w:bookmarkEnd w:id="0"/>
      <w:r>
        <w:rPr>
          <w:rStyle w:val="6"/>
          <w:rFonts w:hint="eastAsia" w:ascii="宋体" w:hAnsi="宋体" w:eastAsia="宋体" w:cs="宋体"/>
          <w:sz w:val="18"/>
          <w:szCs w:val="18"/>
        </w:rPr>
        <w:t>法释〔2022〕9号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eastAsia" w:ascii="宋体" w:hAnsi="宋体" w:eastAsia="宋体" w:cs="宋体"/>
          <w:sz w:val="18"/>
          <w:szCs w:val="18"/>
        </w:rPr>
      </w:pPr>
      <w:r>
        <w:rPr>
          <w:rStyle w:val="6"/>
          <w:rFonts w:hint="eastAsia" w:ascii="宋体" w:hAnsi="宋体" w:eastAsia="宋体" w:cs="宋体"/>
          <w:color w:val="2C5AA0"/>
          <w:sz w:val="18"/>
          <w:szCs w:val="18"/>
        </w:rPr>
        <w:t>最高人民法院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eastAsia" w:ascii="宋体" w:hAnsi="宋体" w:eastAsia="宋体" w:cs="宋体"/>
          <w:sz w:val="18"/>
          <w:szCs w:val="18"/>
        </w:rPr>
      </w:pPr>
      <w:r>
        <w:rPr>
          <w:rStyle w:val="6"/>
          <w:rFonts w:hint="eastAsia" w:ascii="宋体" w:hAnsi="宋体" w:eastAsia="宋体" w:cs="宋体"/>
          <w:color w:val="2C5AA0"/>
          <w:sz w:val="18"/>
          <w:szCs w:val="18"/>
        </w:rPr>
        <w:t>关于适用《中华人民共和国反不正当竞争法》若干问题的解释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hint="eastAsia" w:ascii="宋体" w:hAnsi="宋体" w:eastAsia="宋体" w:cs="宋体"/>
          <w:sz w:val="18"/>
          <w:szCs w:val="18"/>
        </w:rPr>
      </w:pPr>
      <w:r>
        <w:rPr>
          <w:rFonts w:hint="eastAsia" w:ascii="宋体" w:hAnsi="宋体" w:eastAsia="宋体" w:cs="宋体"/>
          <w:sz w:val="18"/>
          <w:szCs w:val="18"/>
        </w:rPr>
        <w:t>（2022年1月29日最高人民法院审判委员会第1862次会议通过，自2022年3月20日起施行）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为正确审理因不正当竞争行为引发的民事案件，根据《中华人民共和国民法典》《中华人民共和国反不正当竞争法》《中华人民共和国民事诉讼法》等有关法律规定，结合审判实践，制定本解释。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第一条</w:t>
      </w:r>
      <w:r>
        <w:rPr>
          <w:rFonts w:hint="eastAsia" w:ascii="宋体" w:hAnsi="宋体" w:eastAsia="宋体" w:cs="宋体"/>
          <w:sz w:val="18"/>
          <w:szCs w:val="18"/>
        </w:rPr>
        <w:t>  经营者扰乱市场竞争秩序，损害其他经营者或者消费者合法权益，且属于违反反不正当竞争法第二章及专利法、商标法、著作权法等规定之外情形的，人民法院可以适用反不正当竞争法第二条予以认定。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第二条</w:t>
      </w:r>
      <w:r>
        <w:rPr>
          <w:rFonts w:hint="eastAsia" w:ascii="宋体" w:hAnsi="宋体" w:eastAsia="宋体" w:cs="宋体"/>
          <w:sz w:val="18"/>
          <w:szCs w:val="18"/>
        </w:rPr>
        <w:t>  与经营者在生产经营活动中存在可能的争夺交易机会、损害竞争优势等关系的市场主体，人民法院可以认定为反不正当竞争法第二条规定的“其他经营者”。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第三条</w:t>
      </w:r>
      <w:r>
        <w:rPr>
          <w:rFonts w:hint="eastAsia" w:ascii="宋体" w:hAnsi="宋体" w:eastAsia="宋体" w:cs="宋体"/>
          <w:sz w:val="18"/>
          <w:szCs w:val="18"/>
        </w:rPr>
        <w:t>  特定商业领域普遍遵循和认可的行为规范，人民法院可以认定为反不正当竞争法第二条规定的“商业道德”。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人民法院应当结合案件具体情况，综合考虑行业规则或者商业惯例、经营者的主观状态、交易相对人的选择意愿、对消费者权益、市场竞争秩序、社会公共利益的影响等因素，依法判断经营者是否违反商业道德。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人民法院认定经营者是否违反商业道德时，可以参考行业主管部门、行业协会或者自律组织制定的从业规范、技术规范、自律公约等。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第四条</w:t>
      </w:r>
      <w:r>
        <w:rPr>
          <w:rFonts w:hint="eastAsia" w:ascii="宋体" w:hAnsi="宋体" w:eastAsia="宋体" w:cs="宋体"/>
          <w:sz w:val="18"/>
          <w:szCs w:val="18"/>
        </w:rPr>
        <w:t>  具有一定的市场知名度并具有区别商品来源的显著特征的标识，人民法院可以认定为反不正当竞争法第六条规定的“有一定影响的”标识。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人民法院认定反不正当竞争法第六条规定的标识是否具有一定的市场知名度，应当综合考虑中国境内相关公众的知悉程度，商品销售的时间、区域、数额和对象，宣传的持续时间、程度和地域范围，标识受保护的情况等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第五条</w:t>
      </w:r>
      <w:r>
        <w:rPr>
          <w:rFonts w:hint="eastAsia" w:ascii="宋体" w:hAnsi="宋体" w:eastAsia="宋体" w:cs="宋体"/>
          <w:sz w:val="18"/>
          <w:szCs w:val="18"/>
        </w:rPr>
        <w:t>  反不正当竞争法第六条规定的标识有下列情形之一的，人民法院应当认定其不具有区别商品来源的显著特征: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（一）商品的通用名称、图形、型号;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（二）仅直接表示商品的质量、主要原料、功能、用途、重量、数量及其他特点的标识;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（三）仅由商品自身的性质产生的形状，为获得技术效果而需有的商品形状以及使商品具有实质性价值的形状;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（四）其他缺乏显著特征的标识。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前款第一项、第二项、第四项规定的标识经过使用取得显著特征，并具有一定的市场知名度，当事人请求依据反不正当竞争法第六条规定予以保护的，人民法院应予支持。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第六条</w:t>
      </w:r>
      <w:r>
        <w:rPr>
          <w:rFonts w:hint="eastAsia" w:ascii="宋体" w:hAnsi="宋体" w:eastAsia="宋体" w:cs="宋体"/>
          <w:sz w:val="18"/>
          <w:szCs w:val="18"/>
        </w:rPr>
        <w:t>  因客观描述、说明商品而正当使用下列标识，当事人主张属于反不正当竞争法第六条规定的情形的，人民法院不予支持：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（一）含有本商品的通用名称、图形、型号；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（二）直接表示商品的质量、主要原料、功能、用途、重量、数量以及其他特点；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（三）含有地名。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第七条</w:t>
      </w:r>
      <w:r>
        <w:rPr>
          <w:rFonts w:hint="eastAsia" w:ascii="宋体" w:hAnsi="宋体" w:eastAsia="宋体" w:cs="宋体"/>
          <w:sz w:val="18"/>
          <w:szCs w:val="18"/>
        </w:rPr>
        <w:t>  反不正当竞争法第六条规定的标识或者其显著识别部分属于商标法第十条第一款规定的不得作为商标使用的标志，当事人请求依据反不正当竞争法第六条规定予以保护的，人民法院不予支持。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第八条</w:t>
      </w:r>
      <w:r>
        <w:rPr>
          <w:rFonts w:hint="eastAsia" w:ascii="宋体" w:hAnsi="宋体" w:eastAsia="宋体" w:cs="宋体"/>
          <w:sz w:val="18"/>
          <w:szCs w:val="18"/>
        </w:rPr>
        <w:t>  由经营者营业场所的装饰、营业用具的式样、营业人员的服饰等构成的具有独特风格的整体营业形象，人民法院可以认定为反不正当竞争法第六条第一项规定的“装潢”。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第九条</w:t>
      </w:r>
      <w:r>
        <w:rPr>
          <w:rFonts w:hint="eastAsia" w:ascii="宋体" w:hAnsi="宋体" w:eastAsia="宋体" w:cs="宋体"/>
          <w:sz w:val="18"/>
          <w:szCs w:val="18"/>
        </w:rPr>
        <w:t>  市场主体登记管理部门依法登记的企业名称，以及在中国境内进行商业使用的境外企业名称，人民法院可以认定为反不正当竞争法第六条第二项规定的“企业名称”。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有一定影响的个体工商户、农民专业合作社（联合社）以及法律、行政法规规定的其他市场主体的名称（包括简称、字号等），人民法院可以依照反不正当竞争法第六条第二项予以认定。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第十条</w:t>
      </w:r>
      <w:r>
        <w:rPr>
          <w:rFonts w:hint="eastAsia" w:ascii="宋体" w:hAnsi="宋体" w:eastAsia="宋体" w:cs="宋体"/>
          <w:sz w:val="18"/>
          <w:szCs w:val="18"/>
        </w:rPr>
        <w:t>  在中国境内将有一定影响的标识用于商品、商品包装或者容器以及商品交易文书上，或者广告宣传、展览以及其他商业活动中，用于识别商品来源的行为，人民法院可以认定为反不正当竞争法第六条规定的“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第十一条</w:t>
      </w:r>
      <w:r>
        <w:rPr>
          <w:rFonts w:hint="eastAsia" w:ascii="宋体" w:hAnsi="宋体" w:eastAsia="宋体" w:cs="宋体"/>
          <w:sz w:val="18"/>
          <w:szCs w:val="18"/>
        </w:rPr>
        <w:t>  经营者擅自使用与他人有一定影响的企业名称（包括简称、字号等）、社会组织名称（包括简称等）、姓名（包括笔名、艺名、译名等）、域名主体部分、网站名称、网页等近似的标识，引人误认为是他人商品或者与他人存在特定联系，当事人主张属于反不正当竞争法第六条第二项、第三项规定的情形的，人民法院应予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第十二条</w:t>
      </w:r>
      <w:r>
        <w:rPr>
          <w:rFonts w:hint="eastAsia" w:ascii="宋体" w:hAnsi="宋体" w:eastAsia="宋体" w:cs="宋体"/>
          <w:sz w:val="18"/>
          <w:szCs w:val="18"/>
        </w:rPr>
        <w:t>  人民法院认定与反不正当竞争法第六条规定的“有一定影响的”标识相同或者近似，可以参照商标相同或者近似的判断原则和方法。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反不正当竞争法第六条规定的“引人误认为是他人商品或者与他人存在特定联系”，包括误认为与他人具有商业联合、许可使用、商业冠名、广告代言等特定联系。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在相同商品上使用相同或者视觉上基本无差别的商品名称、包装、装潢等标识，应当视为足以造成与他人有一定影响的标识相混淆。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第十三条</w:t>
      </w:r>
      <w:r>
        <w:rPr>
          <w:rFonts w:hint="eastAsia" w:ascii="宋体" w:hAnsi="宋体" w:eastAsia="宋体" w:cs="宋体"/>
          <w:sz w:val="18"/>
          <w:szCs w:val="18"/>
        </w:rPr>
        <w:t>  经营者实施下列混淆行为之一，足以引人误认为是他人商品或者与他人存在特定联系的，人民法院可以依照反不正当竞争法第六条第四项予以认定：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（一）擅自使用反不正当竞争法第六条第一项、第二项、第三项规定以外“有一定影响的”标识；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（二）将他人注册商标、未注册的驰名商标作为企业名称中的字号使用，误导公众。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第十四条</w:t>
      </w:r>
      <w:r>
        <w:rPr>
          <w:rFonts w:hint="eastAsia" w:ascii="宋体" w:hAnsi="宋体" w:eastAsia="宋体" w:cs="宋体"/>
          <w:sz w:val="18"/>
          <w:szCs w:val="18"/>
        </w:rPr>
        <w:t>  经营者销售带有违反反不正当竞争法第六条规定的标识的商品，引人误认为是他人商品或者与他人存在特定联系，当事人主张构成反不正当竞争法第六条规定的情形的，人民法院应予支持。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销售不知道是前款规定的侵权商品，能证明该商品是自己合法取得并说明提供者，经营者主张不承担赔偿责任的，人民法院应予支持。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第十五条</w:t>
      </w:r>
      <w:r>
        <w:rPr>
          <w:rFonts w:hint="eastAsia" w:ascii="宋体" w:hAnsi="宋体" w:eastAsia="宋体" w:cs="宋体"/>
          <w:sz w:val="18"/>
          <w:szCs w:val="18"/>
        </w:rPr>
        <w:t>  故意为他人实施混淆行为提供仓储、运输、邮寄、印制、隐匿、经营场所等便利条件，当事人请求依据民法典第一千一百六十九条第一款予以认定的，人民法院应予支持。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第十六条</w:t>
      </w:r>
      <w:r>
        <w:rPr>
          <w:rFonts w:hint="eastAsia" w:ascii="宋体" w:hAnsi="宋体" w:eastAsia="宋体" w:cs="宋体"/>
          <w:sz w:val="18"/>
          <w:szCs w:val="18"/>
        </w:rPr>
        <w:t>  经营者在商业宣传过程中，提供不真实的商品相关信息，欺骗、误导相关公众的，人民法院应当认定为反不正当竞争法第八条第一款规定的虚假的商业宣传。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第十七条</w:t>
      </w:r>
      <w:r>
        <w:rPr>
          <w:rFonts w:hint="eastAsia" w:ascii="宋体" w:hAnsi="宋体" w:eastAsia="宋体" w:cs="宋体"/>
          <w:sz w:val="18"/>
          <w:szCs w:val="18"/>
        </w:rPr>
        <w:t>  经营者具有下列行为之一，欺骗、误导相关公众的，人民法院可以认定为反不正当竞争法第八条第一款规定的“引人误解的商业宣传”：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（一）对商品作片面的宣传或者对比；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（二）将科学上未定论的观点、现象等当作定论的事实用于商品宣传；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（三）使用歧义性语言进行商业宣传；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lang w:eastAsia="zh-CN"/>
        </w:rPr>
      </w:pPr>
      <w:r>
        <w:rPr>
          <w:rFonts w:hint="eastAsia" w:ascii="宋体" w:hAnsi="宋体" w:eastAsia="宋体" w:cs="宋体"/>
          <w:sz w:val="18"/>
          <w:szCs w:val="18"/>
        </w:rPr>
        <w:t>（四）其他足以引人误解的商业宣传行为。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人民法院应当根据日常生活经验、相关公众一般注意力、发生误解的事实和被宣传对象的实际情况等因素，对引人误解的商业宣传行为进行认定。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第十八条</w:t>
      </w:r>
      <w:r>
        <w:rPr>
          <w:rFonts w:hint="eastAsia" w:ascii="宋体" w:hAnsi="宋体" w:eastAsia="宋体" w:cs="宋体"/>
          <w:sz w:val="18"/>
          <w:szCs w:val="18"/>
        </w:rPr>
        <w:t>  当事人主张经营者违反反不正当竞争法第八条第一款的规定并请求赔偿损失的，应当举证证明其因虚假或者引人误解的商业宣传行为受到损失。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第十九条</w:t>
      </w:r>
      <w:r>
        <w:rPr>
          <w:rFonts w:hint="eastAsia" w:ascii="宋体" w:hAnsi="宋体" w:eastAsia="宋体" w:cs="宋体"/>
          <w:sz w:val="18"/>
          <w:szCs w:val="18"/>
        </w:rPr>
        <w:t>  当事人主张经营者实施了反不正当竞争法第十一条规定的商业诋毁行为的，应当举证证明其为该商业诋毁行为的特定损害对象。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第二十条</w:t>
      </w:r>
      <w:r>
        <w:rPr>
          <w:rFonts w:hint="eastAsia" w:ascii="宋体" w:hAnsi="宋体" w:eastAsia="宋体" w:cs="宋体"/>
          <w:sz w:val="18"/>
          <w:szCs w:val="18"/>
        </w:rPr>
        <w:t>  经营者传播他人编造的虚假信息或者误导性信息，损害竞争对手的商业信誉、商品声誉的，人民法院应当依照反不正当竞争法第十一条予以认定。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第二十一条</w:t>
      </w:r>
      <w:r>
        <w:rPr>
          <w:rFonts w:hint="eastAsia" w:ascii="宋体" w:hAnsi="宋体" w:eastAsia="宋体" w:cs="宋体"/>
          <w:sz w:val="18"/>
          <w:szCs w:val="18"/>
        </w:rPr>
        <w:t>  未经其他经营者和用户同意而直接发生的目标跳转，人民法院应当认定为反不正当竞争法第十二条第二款第一项规定的“强制进行目标跳转”。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仅插入链接，目标跳转由用户触发的，人民法院应当综合考虑插入链接的具体方式、是否具有合理理由以及对用户利益和其他经营者利益的影响等因素，认定该行为是否违反反不正当竞争法第十二条第二款第一项的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第二十二条</w:t>
      </w:r>
      <w:r>
        <w:rPr>
          <w:rFonts w:hint="eastAsia" w:ascii="宋体" w:hAnsi="宋体" w:eastAsia="宋体" w:cs="宋体"/>
          <w:sz w:val="18"/>
          <w:szCs w:val="18"/>
        </w:rPr>
        <w:t>  经营者事前未明确提示并经用户同意，以误导、欺骗、强迫用户修改、关闭、卸载等方式，恶意干扰或者破坏其他经营者合法提供的网络产品或者服务，人民法院应当依照反不正当竞争法第十二条第二款第二项予以认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第二十三条</w:t>
      </w:r>
      <w:r>
        <w:rPr>
          <w:rFonts w:hint="eastAsia" w:ascii="宋体" w:hAnsi="宋体" w:eastAsia="宋体" w:cs="宋体"/>
          <w:sz w:val="18"/>
          <w:szCs w:val="18"/>
        </w:rPr>
        <w:t>  对于反不正当竞争法第二条、第八条、第十一条、第十二条规定的不正当竞争行为，权利人因被侵权所受到的实际损失、侵权人因侵权所获得的利益难以确定，当事人主张依据反不正当竞争法第十七条第四款确定赔偿数额的，人民法院应予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第二十四条</w:t>
      </w:r>
      <w:r>
        <w:rPr>
          <w:rFonts w:hint="eastAsia" w:ascii="宋体" w:hAnsi="宋体" w:eastAsia="宋体" w:cs="宋体"/>
          <w:sz w:val="18"/>
          <w:szCs w:val="18"/>
        </w:rPr>
        <w:t>  对于同一侵权人针对同一主体在同一时间和地域范围实施的侵权行为，人民法院已经认定侵害著作权、专利权或者注册商标专用权等并判令承担民事责任，当事人又以该行为构成不正当竞争为由请求同一侵权人承担民事责任的，人民法院不予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第二十五条</w:t>
      </w:r>
      <w:r>
        <w:rPr>
          <w:rFonts w:hint="eastAsia" w:ascii="宋体" w:hAnsi="宋体" w:eastAsia="宋体" w:cs="宋体"/>
          <w:sz w:val="18"/>
          <w:szCs w:val="18"/>
        </w:rPr>
        <w:t>  依据反不正当竞争法第六条的规定，当事人主张判令被告停止使用或者变更其企业名称的诉讼请求依法应予支持的，人民法院应当判令停止使用该企业名称。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第二十六条</w:t>
      </w:r>
      <w:r>
        <w:rPr>
          <w:rFonts w:hint="eastAsia" w:ascii="宋体" w:hAnsi="宋体" w:eastAsia="宋体" w:cs="宋体"/>
          <w:sz w:val="18"/>
          <w:szCs w:val="18"/>
        </w:rPr>
        <w:t>  因不正当竞争行为提起的民事诉讼，由侵权行为地或者被告住所地人民法院管辖。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当事人主张仅以网络购买者可以任意选择的收货地作为侵权行为地的，人民法院不予支持。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第二十七条</w:t>
      </w:r>
      <w:r>
        <w:rPr>
          <w:rFonts w:hint="eastAsia" w:ascii="宋体" w:hAnsi="宋体" w:eastAsia="宋体" w:cs="宋体"/>
          <w:sz w:val="18"/>
          <w:szCs w:val="18"/>
        </w:rPr>
        <w:t>  被诉不正当竞争行为发生在中华人民共和国领域外，但侵权结果发生在中华人民共和国领域内，当事人主张由该侵权结果发生地人民法院管辖的，人民法院应予支持。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第二十八条</w:t>
      </w:r>
      <w:r>
        <w:rPr>
          <w:rFonts w:hint="eastAsia" w:ascii="宋体" w:hAnsi="宋体" w:eastAsia="宋体" w:cs="宋体"/>
          <w:sz w:val="18"/>
          <w:szCs w:val="18"/>
        </w:rPr>
        <w:t>  反不正当竞争法修改决定施行以后人民法院受理的不正当竞争民事案件，涉及该决定施行前发生的行为的，适用修改前的反不正当竞争法；涉及该决定施行前发生、持续到该决定施行以后的行为的，适用修改后的反不正当竞争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Style w:val="6"/>
          <w:rFonts w:hint="eastAsia" w:ascii="宋体" w:hAnsi="宋体" w:eastAsia="宋体" w:cs="宋体"/>
          <w:sz w:val="18"/>
          <w:szCs w:val="18"/>
        </w:rPr>
        <w:t>第二十九条</w:t>
      </w:r>
      <w:r>
        <w:rPr>
          <w:rFonts w:hint="eastAsia" w:ascii="宋体" w:hAnsi="宋体" w:eastAsia="宋体" w:cs="宋体"/>
          <w:sz w:val="18"/>
          <w:szCs w:val="18"/>
        </w:rPr>
        <w:t>  本解释自2022年3月20日起施行。《最高人民法院关于审理不正当竞争民事案件应用法律若干问题的解释》（法释〔2007〕2号）同时废止。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rPr>
          <w:rFonts w:hint="eastAsia" w:ascii="宋体" w:hAnsi="宋体" w:eastAsia="宋体" w:cs="宋体"/>
          <w:sz w:val="18"/>
          <w:szCs w:val="18"/>
        </w:rPr>
      </w:pPr>
      <w:r>
        <w:rPr>
          <w:rFonts w:hint="eastAsia" w:ascii="宋体" w:hAnsi="宋体" w:eastAsia="宋体" w:cs="宋体"/>
          <w:sz w:val="18"/>
          <w:szCs w:val="18"/>
        </w:rPr>
        <w:t>本解释施行以后尚未终审的案件，适用本解释；施行以前已经终审的案件，不适用本解释再审。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rPr>
          <w:rFonts w:hint="eastAsia" w:ascii="宋体" w:hAnsi="宋体" w:eastAsia="宋体" w:cs="宋体"/>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40" w:lineRule="auto"/>
        <w:ind w:left="0" w:right="0" w:firstLine="420"/>
        <w:rPr>
          <w:rFonts w:hint="eastAsia" w:ascii="宋体" w:hAnsi="宋体" w:eastAsia="宋体" w:cs="宋体"/>
          <w:b/>
          <w:bCs/>
          <w:sz w:val="18"/>
          <w:szCs w:val="18"/>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40" w:lineRule="auto"/>
        <w:ind w:left="0" w:right="0" w:firstLine="420"/>
        <w:rPr>
          <w:rFonts w:hint="eastAsia" w:ascii="宋体" w:hAnsi="宋体" w:eastAsia="宋体" w:cs="宋体"/>
          <w:b/>
          <w:bCs/>
          <w:sz w:val="18"/>
          <w:szCs w:val="18"/>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40" w:lineRule="auto"/>
        <w:ind w:left="0" w:right="0" w:firstLine="420"/>
        <w:rPr>
          <w:rFonts w:hint="eastAsia" w:ascii="宋体" w:hAnsi="宋体" w:eastAsia="宋体" w:cs="宋体"/>
          <w:b/>
          <w:bCs/>
          <w:sz w:val="18"/>
          <w:szCs w:val="18"/>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40" w:lineRule="auto"/>
        <w:ind w:left="0" w:right="0" w:firstLine="420"/>
        <w:rPr>
          <w:rFonts w:hint="eastAsia" w:ascii="宋体" w:hAnsi="宋体" w:eastAsia="宋体" w:cs="宋体"/>
          <w:b/>
          <w:bCs/>
          <w:sz w:val="18"/>
          <w:szCs w:val="18"/>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40" w:lineRule="auto"/>
        <w:ind w:left="0" w:right="0" w:firstLine="420"/>
        <w:rPr>
          <w:rFonts w:hint="default" w:ascii="Arial" w:hAnsi="Arial" w:cs="Arial"/>
          <w:i w:val="0"/>
          <w:iCs w:val="0"/>
          <w:caps w:val="0"/>
          <w:color w:val="333333"/>
          <w:spacing w:val="0"/>
          <w:sz w:val="18"/>
          <w:szCs w:val="18"/>
        </w:rPr>
      </w:pPr>
      <w:r>
        <w:rPr>
          <w:rFonts w:hint="eastAsia" w:ascii="宋体" w:hAnsi="宋体" w:eastAsia="宋体" w:cs="宋体"/>
          <w:b/>
          <w:bCs/>
          <w:sz w:val="18"/>
          <w:szCs w:val="18"/>
          <w:lang w:eastAsia="zh-CN"/>
        </w:rPr>
        <w:t>参考法律条文</w:t>
      </w:r>
      <w:r>
        <w:rPr>
          <w:rFonts w:hint="eastAsia" w:ascii="宋体" w:hAnsi="宋体" w:eastAsia="宋体" w:cs="宋体"/>
          <w:b/>
          <w:bCs/>
          <w:sz w:val="18"/>
          <w:szCs w:val="18"/>
          <w:lang w:val="en-US" w:eastAsia="zh-CN"/>
        </w:rPr>
        <w:t xml:space="preserve">      商标法：</w:t>
      </w:r>
      <w:r>
        <w:rPr>
          <w:rFonts w:hint="default" w:ascii="Arial" w:hAnsi="Arial" w:cs="Arial"/>
          <w:i w:val="0"/>
          <w:iCs w:val="0"/>
          <w:caps w:val="0"/>
          <w:color w:val="333333"/>
          <w:spacing w:val="0"/>
          <w:sz w:val="18"/>
          <w:szCs w:val="18"/>
          <w:shd w:val="clear" w:fill="FFFFFF"/>
        </w:rPr>
        <w:t>第十条 下列标志不得作为商标使用：(一)同中华人民共和国的国家名称、国旗、国徽、国歌、军旗、军徽、军歌、勋章等相同或者近似的，以及同中央国家机关的名称、标志、所在地特定地点的名称或者标志性建筑物的名称、图形相同的;(二)同外国的国家名称、国旗、国徽、军旗等相同或者近似的，但经该国政府同意的除外;(三)同政府间国际组织的名称、旗帜、徽记等相同或者近似的，但经该组织同意或者不易误导公众的除外;(四)与表明实施控制、予以保证的官方标志、检验印记相同或者近似的，但经授权的除外;(五)同“红十字”、“红新月”的名称、标志相同或者近似的;(六)带有民族歧视性的;(七)带有欺骗性，容易使公众对商品的质量等特点或者产地产生误认的;(八)有害于社会主义道德风尚或者有其他不良影响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40" w:lineRule="auto"/>
        <w:ind w:left="0" w:right="0" w:firstLine="420"/>
        <w:rPr>
          <w:rFonts w:hint="default" w:ascii="Arial" w:hAnsi="Arial" w:cs="Arial"/>
          <w:i w:val="0"/>
          <w:iCs w:val="0"/>
          <w:caps w:val="0"/>
          <w:color w:val="333333"/>
          <w:spacing w:val="0"/>
          <w:sz w:val="18"/>
          <w:szCs w:val="18"/>
          <w:shd w:val="clear" w:fill="FFFFFF"/>
        </w:rPr>
      </w:pPr>
      <w:r>
        <w:rPr>
          <w:rFonts w:hint="default" w:ascii="Arial" w:hAnsi="Arial" w:cs="Arial"/>
          <w:i w:val="0"/>
          <w:iCs w:val="0"/>
          <w:caps w:val="0"/>
          <w:color w:val="333333"/>
          <w:spacing w:val="0"/>
          <w:sz w:val="18"/>
          <w:szCs w:val="18"/>
          <w:shd w:val="clear" w:fill="FFFFFF"/>
        </w:rPr>
        <w:t>县级以上行政区划的地名或者公众知晓的外国地名，不得作为商标。但是，地名具有其他含义或者作为集体商标、证明商标组成部分的除外;已经注册的使用地名的商标继续有效。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40" w:lineRule="auto"/>
        <w:ind w:right="0"/>
        <w:rPr>
          <w:rFonts w:ascii="Arial" w:hAnsi="Arial" w:eastAsia="宋体" w:cs="Arial"/>
          <w:i w:val="0"/>
          <w:iCs w:val="0"/>
          <w:caps w:val="0"/>
          <w:color w:val="333333"/>
          <w:spacing w:val="0"/>
          <w:sz w:val="18"/>
          <w:szCs w:val="18"/>
          <w:shd w:val="clear" w:fill="FFFFFF"/>
        </w:rPr>
      </w:pPr>
      <w:r>
        <w:rPr>
          <w:rFonts w:hint="eastAsia" w:ascii="Arial" w:hAnsi="Arial" w:cs="Arial"/>
          <w:b/>
          <w:bCs/>
          <w:i w:val="0"/>
          <w:iCs w:val="0"/>
          <w:caps w:val="0"/>
          <w:color w:val="333333"/>
          <w:spacing w:val="0"/>
          <w:sz w:val="18"/>
          <w:szCs w:val="18"/>
          <w:shd w:val="clear" w:fill="FFFFFF"/>
          <w:lang w:eastAsia="zh-CN"/>
        </w:rPr>
        <w:t>民法典</w:t>
      </w:r>
      <w:r>
        <w:rPr>
          <w:rFonts w:hint="eastAsia" w:ascii="Arial" w:hAnsi="Arial" w:cs="Arial"/>
          <w:i w:val="0"/>
          <w:iCs w:val="0"/>
          <w:caps w:val="0"/>
          <w:color w:val="333333"/>
          <w:spacing w:val="0"/>
          <w:sz w:val="18"/>
          <w:szCs w:val="18"/>
          <w:shd w:val="clear" w:fill="FFFFFF"/>
          <w:lang w:val="en-US" w:eastAsia="zh-CN"/>
        </w:rPr>
        <w:t xml:space="preserve">  </w:t>
      </w:r>
      <w:r>
        <w:rPr>
          <w:rFonts w:ascii="Arial" w:hAnsi="Arial" w:eastAsia="宋体" w:cs="Arial"/>
          <w:i w:val="0"/>
          <w:iCs w:val="0"/>
          <w:caps w:val="0"/>
          <w:color w:val="333333"/>
          <w:spacing w:val="0"/>
          <w:sz w:val="18"/>
          <w:szCs w:val="18"/>
          <w:shd w:val="clear" w:fill="FFFFFF"/>
        </w:rPr>
        <w:t>第一千一百六十六条 行为人造成他人民事权益损害，不论行为人有无过错，法律规定应当承担侵权责任的，依照其规定。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40" w:lineRule="auto"/>
        <w:ind w:right="0"/>
        <w:rPr>
          <w:sz w:val="18"/>
          <w:szCs w:val="18"/>
        </w:rPr>
      </w:pPr>
      <w:r>
        <w:rPr>
          <w:rFonts w:hint="eastAsia" w:ascii="宋体" w:hAnsi="宋体" w:eastAsia="宋体" w:cs="宋体"/>
          <w:b/>
          <w:bCs/>
          <w:sz w:val="18"/>
          <w:szCs w:val="18"/>
          <w:lang w:val="en-US" w:eastAsia="zh-CN"/>
        </w:rPr>
        <w:t xml:space="preserve">反不正当竞争法   </w:t>
      </w:r>
      <w:r>
        <w:rPr>
          <w:rFonts w:hint="eastAsia" w:ascii="宋体" w:hAnsi="宋体" w:eastAsia="宋体" w:cs="宋体"/>
          <w:b/>
          <w:bCs/>
          <w:kern w:val="0"/>
          <w:sz w:val="18"/>
          <w:szCs w:val="18"/>
          <w:lang w:val="en-US" w:eastAsia="zh-CN" w:bidi="ar"/>
        </w:rPr>
        <w:t xml:space="preserve">第二条 </w:t>
      </w:r>
      <w:r>
        <w:rPr>
          <w:rFonts w:hint="eastAsia" w:ascii="宋体" w:hAnsi="宋体" w:eastAsia="宋体" w:cs="宋体"/>
          <w:kern w:val="0"/>
          <w:sz w:val="18"/>
          <w:szCs w:val="18"/>
          <w:lang w:val="en-US" w:eastAsia="zh-CN" w:bidi="ar"/>
        </w:rPr>
        <w:t xml:space="preserve"> </w:t>
      </w:r>
      <w:r>
        <w:rPr>
          <w:rFonts w:ascii="宋体" w:hAnsi="宋体" w:eastAsia="宋体" w:cs="宋体"/>
          <w:kern w:val="0"/>
          <w:sz w:val="18"/>
          <w:szCs w:val="18"/>
          <w:lang w:val="en-US" w:eastAsia="zh-CN" w:bidi="ar"/>
        </w:rPr>
        <w:t xml:space="preserve">经营者在生产经营活动中，应当遵循自愿、平等、公平、诚信的原则，遵守法律和商业道德。 </w:t>
      </w:r>
      <w:r>
        <w:rPr>
          <w:rFonts w:hint="eastAsia" w:ascii="宋体" w:hAnsi="宋体" w:eastAsia="宋体" w:cs="宋体"/>
          <w:kern w:val="0"/>
          <w:sz w:val="18"/>
          <w:szCs w:val="18"/>
          <w:lang w:val="en-US" w:eastAsia="zh-CN" w:bidi="ar"/>
        </w:rPr>
        <w:t xml:space="preserve">  </w:t>
      </w:r>
      <w:r>
        <w:rPr>
          <w:rFonts w:ascii="宋体" w:hAnsi="宋体" w:eastAsia="宋体" w:cs="宋体"/>
          <w:kern w:val="0"/>
          <w:sz w:val="18"/>
          <w:szCs w:val="18"/>
          <w:lang w:val="en-US" w:eastAsia="zh-CN" w:bidi="ar"/>
        </w:rPr>
        <w:t>本法所称的不正当竞争行为，是指经营者在生产经营活动中，违反本法规定，扰乱市场竞争秩序，损害其他经营者或者消费者的合法权益的行为。 本法所称的经营者，是指从事商品生产、经营或者提供服务（以下所称商品包括服务）的自然人、法人和非法人组织。</w:t>
      </w:r>
    </w:p>
    <w:p>
      <w:pPr>
        <w:widowControl/>
        <w:numPr>
          <w:ilvl w:val="0"/>
          <w:numId w:val="0"/>
        </w:numPr>
        <w:jc w:val="left"/>
        <w:rPr>
          <w:rFonts w:ascii="宋体" w:hAnsi="宋体" w:eastAsia="宋体" w:cs="宋体"/>
          <w:b/>
          <w:bCs/>
          <w:kern w:val="0"/>
          <w:sz w:val="18"/>
          <w:szCs w:val="18"/>
          <w:lang w:val="en-US" w:eastAsia="zh-CN" w:bidi="ar"/>
        </w:rPr>
      </w:pPr>
      <w:r>
        <w:rPr>
          <w:rFonts w:hint="eastAsia" w:ascii="宋体" w:hAnsi="宋体" w:eastAsia="宋体" w:cs="宋体"/>
          <w:b/>
          <w:bCs/>
          <w:kern w:val="0"/>
          <w:sz w:val="18"/>
          <w:szCs w:val="18"/>
          <w:lang w:val="en-US" w:eastAsia="zh-CN" w:bidi="ar"/>
        </w:rPr>
        <w:t>第二章</w:t>
      </w:r>
      <w:r>
        <w:rPr>
          <w:rFonts w:ascii="宋体" w:hAnsi="宋体" w:eastAsia="宋体" w:cs="宋体"/>
          <w:b/>
          <w:bCs/>
          <w:kern w:val="0"/>
          <w:sz w:val="18"/>
          <w:szCs w:val="18"/>
          <w:lang w:val="en-US" w:eastAsia="zh-CN" w:bidi="ar"/>
        </w:rPr>
        <w:t>  不正当竞争行为</w:t>
      </w:r>
    </w:p>
    <w:p>
      <w:pPr>
        <w:widowControl/>
        <w:numPr>
          <w:ilvl w:val="0"/>
          <w:numId w:val="0"/>
        </w:numPr>
        <w:jc w:val="left"/>
        <w:rPr>
          <w:rFonts w:ascii="宋体" w:hAnsi="宋体" w:eastAsia="宋体" w:cs="宋体"/>
          <w:kern w:val="0"/>
          <w:sz w:val="18"/>
          <w:szCs w:val="18"/>
          <w:lang w:val="en-US" w:eastAsia="zh-CN" w:bidi="ar"/>
        </w:rPr>
      </w:pPr>
      <w:r>
        <w:rPr>
          <w:rFonts w:ascii="宋体" w:hAnsi="宋体" w:eastAsia="宋体" w:cs="宋体"/>
          <w:b/>
          <w:bCs/>
          <w:kern w:val="0"/>
          <w:sz w:val="18"/>
          <w:szCs w:val="18"/>
          <w:lang w:val="en-US" w:eastAsia="zh-CN" w:bidi="ar"/>
        </w:rPr>
        <w:t>第六条</w:t>
      </w:r>
      <w:r>
        <w:rPr>
          <w:rFonts w:hint="eastAsia" w:ascii="宋体" w:hAnsi="宋体" w:eastAsia="宋体" w:cs="宋体"/>
          <w:b/>
          <w:bCs/>
          <w:kern w:val="0"/>
          <w:sz w:val="18"/>
          <w:szCs w:val="18"/>
          <w:lang w:val="en-US" w:eastAsia="zh-CN" w:bidi="ar"/>
        </w:rPr>
        <w:t xml:space="preserve">   </w:t>
      </w:r>
      <w:r>
        <w:rPr>
          <w:rFonts w:ascii="宋体" w:hAnsi="宋体" w:eastAsia="宋体" w:cs="宋体"/>
          <w:kern w:val="0"/>
          <w:sz w:val="18"/>
          <w:szCs w:val="18"/>
          <w:lang w:val="en-US" w:eastAsia="zh-CN" w:bidi="ar"/>
        </w:rPr>
        <w:t>经营者不得实施下列混淆行为，引人误认为是他人商品或者与他人存在特定联系： （一）擅自使用与他人有一定影响的商品名称、包装、装潢等相同或者近似的标识； （二）擅自使用他人有一定影响的企业名称（包括简称、字号等）、社会组织名称（包括简称等）、姓名（包括笔名、艺名、译名等）； （三）擅自使用他人有一定影响的域名主体部分、网站名称、网页等； （四）其他足以引人误认为是他人商品或者与他人存在特定联系的混淆行为。</w:t>
      </w:r>
    </w:p>
    <w:p>
      <w:pPr>
        <w:widowControl/>
        <w:numPr>
          <w:ilvl w:val="0"/>
          <w:numId w:val="0"/>
        </w:numPr>
        <w:jc w:val="left"/>
        <w:rPr>
          <w:rFonts w:ascii="宋体" w:hAnsi="宋体" w:eastAsia="宋体" w:cs="宋体"/>
          <w:kern w:val="0"/>
          <w:sz w:val="18"/>
          <w:szCs w:val="18"/>
          <w:lang w:val="en-US" w:eastAsia="zh-CN" w:bidi="ar"/>
        </w:rPr>
      </w:pPr>
      <w:r>
        <w:rPr>
          <w:rFonts w:ascii="宋体" w:hAnsi="宋体" w:eastAsia="宋体" w:cs="宋体"/>
          <w:b/>
          <w:bCs/>
          <w:kern w:val="0"/>
          <w:sz w:val="18"/>
          <w:szCs w:val="18"/>
          <w:lang w:val="en-US" w:eastAsia="zh-CN" w:bidi="ar"/>
        </w:rPr>
        <w:t>第七条</w:t>
      </w:r>
      <w:r>
        <w:rPr>
          <w:rFonts w:hint="eastAsia" w:ascii="宋体" w:hAnsi="宋体" w:eastAsia="宋体" w:cs="宋体"/>
          <w:b/>
          <w:bCs/>
          <w:kern w:val="0"/>
          <w:sz w:val="18"/>
          <w:szCs w:val="18"/>
          <w:lang w:val="en-US" w:eastAsia="zh-CN" w:bidi="ar"/>
        </w:rPr>
        <w:t xml:space="preserve">     </w:t>
      </w:r>
      <w:r>
        <w:rPr>
          <w:rFonts w:ascii="宋体" w:hAnsi="宋体" w:eastAsia="宋体" w:cs="宋体"/>
          <w:kern w:val="0"/>
          <w:sz w:val="18"/>
          <w:szCs w:val="18"/>
          <w:lang w:val="en-US" w:eastAsia="zh-CN" w:bidi="ar"/>
        </w:rPr>
        <w:t>经营者不得采用财物或者其他手段贿赂下列单位或者个人，以谋取交易机会或者竞争优势： （一）交易相对方的工作人员； （二）受交易相对方委托办理相关事务的单位或者个人； （三）利用职权或者影响力影响交易的单位或者个人。</w:t>
      </w:r>
    </w:p>
    <w:p>
      <w:pPr>
        <w:widowControl/>
        <w:numPr>
          <w:ilvl w:val="0"/>
          <w:numId w:val="0"/>
        </w:numPr>
        <w:jc w:val="left"/>
        <w:rPr>
          <w:rFonts w:ascii="宋体" w:hAnsi="宋体" w:eastAsia="宋体" w:cs="宋体"/>
          <w:kern w:val="0"/>
          <w:sz w:val="18"/>
          <w:szCs w:val="18"/>
          <w:lang w:val="en-US" w:eastAsia="zh-CN" w:bidi="ar"/>
        </w:rPr>
      </w:pPr>
      <w:r>
        <w:rPr>
          <w:rFonts w:ascii="宋体" w:hAnsi="宋体" w:eastAsia="宋体" w:cs="宋体"/>
          <w:kern w:val="0"/>
          <w:sz w:val="18"/>
          <w:szCs w:val="18"/>
          <w:lang w:val="en-US" w:eastAsia="zh-CN" w:bidi="ar"/>
        </w:rPr>
        <w:t xml:space="preserve">经营者在交易活动中，可以以明示方式向交易相对方支付折扣，或者向中间人支付佣金。经营者向交易相对方支付折扣、向中间人支付佣金的，应当如实入账。接受折扣、佣金的经营者也应当如实入账。 </w:t>
      </w:r>
    </w:p>
    <w:p>
      <w:pPr>
        <w:widowControl/>
        <w:numPr>
          <w:ilvl w:val="0"/>
          <w:numId w:val="0"/>
        </w:numPr>
        <w:jc w:val="left"/>
        <w:rPr>
          <w:rFonts w:ascii="宋体" w:hAnsi="宋体" w:eastAsia="宋体" w:cs="宋体"/>
          <w:kern w:val="0"/>
          <w:sz w:val="18"/>
          <w:szCs w:val="18"/>
          <w:lang w:val="en-US" w:eastAsia="zh-CN" w:bidi="ar"/>
        </w:rPr>
      </w:pPr>
      <w:r>
        <w:rPr>
          <w:rFonts w:ascii="宋体" w:hAnsi="宋体" w:eastAsia="宋体" w:cs="宋体"/>
          <w:kern w:val="0"/>
          <w:sz w:val="18"/>
          <w:szCs w:val="18"/>
          <w:lang w:val="en-US" w:eastAsia="zh-CN" w:bidi="ar"/>
        </w:rPr>
        <w:t>经营者的工作人员进行贿赂的，应当认定为经营者的行为；但是，经营者有证据证明该工作人员的行为与为经营者谋取交易机会或者竞争优势无关的除外。</w:t>
      </w:r>
    </w:p>
    <w:p>
      <w:pPr>
        <w:widowControl/>
        <w:numPr>
          <w:ilvl w:val="0"/>
          <w:numId w:val="0"/>
        </w:numPr>
        <w:jc w:val="left"/>
        <w:rPr>
          <w:rFonts w:ascii="宋体" w:hAnsi="宋体" w:eastAsia="宋体" w:cs="宋体"/>
          <w:kern w:val="0"/>
          <w:sz w:val="18"/>
          <w:szCs w:val="18"/>
          <w:lang w:val="en-US" w:eastAsia="zh-CN" w:bidi="ar"/>
        </w:rPr>
      </w:pPr>
      <w:r>
        <w:rPr>
          <w:rFonts w:hint="eastAsia" w:ascii="宋体" w:hAnsi="宋体" w:eastAsia="宋体" w:cs="宋体"/>
          <w:b/>
          <w:bCs/>
          <w:kern w:val="0"/>
          <w:sz w:val="18"/>
          <w:szCs w:val="18"/>
          <w:lang w:val="en-US" w:eastAsia="zh-CN" w:bidi="ar"/>
        </w:rPr>
        <w:t xml:space="preserve">第八条     </w:t>
      </w:r>
      <w:r>
        <w:rPr>
          <w:rFonts w:ascii="宋体" w:hAnsi="宋体" w:eastAsia="宋体" w:cs="宋体"/>
          <w:kern w:val="0"/>
          <w:sz w:val="18"/>
          <w:szCs w:val="18"/>
          <w:lang w:val="en-US" w:eastAsia="zh-CN" w:bidi="ar"/>
        </w:rPr>
        <w:t>经营者不得对其商品的性能、功能、质量、销售状况、用户评价、曾获荣誉等作虚假或者引人误解的商业宣传，欺骗、误导消费者。 经营者不得通过组织虚假交易等方式，帮助其他经营者进行虚假或者引人误解的商业宣传。</w:t>
      </w:r>
    </w:p>
    <w:p>
      <w:pPr>
        <w:widowControl/>
        <w:numPr>
          <w:ilvl w:val="0"/>
          <w:numId w:val="0"/>
        </w:numPr>
        <w:jc w:val="left"/>
        <w:rPr>
          <w:rFonts w:ascii="宋体" w:hAnsi="宋体" w:eastAsia="宋体" w:cs="宋体"/>
          <w:kern w:val="0"/>
          <w:sz w:val="18"/>
          <w:szCs w:val="18"/>
          <w:lang w:val="en-US" w:eastAsia="zh-CN" w:bidi="ar"/>
        </w:rPr>
      </w:pPr>
      <w:r>
        <w:rPr>
          <w:rFonts w:ascii="宋体" w:hAnsi="宋体" w:eastAsia="宋体" w:cs="宋体"/>
          <w:b/>
          <w:bCs/>
          <w:kern w:val="0"/>
          <w:sz w:val="18"/>
          <w:szCs w:val="18"/>
          <w:lang w:val="en-US" w:eastAsia="zh-CN" w:bidi="ar"/>
        </w:rPr>
        <w:t>第九条</w:t>
      </w:r>
      <w:r>
        <w:rPr>
          <w:rFonts w:hint="eastAsia" w:ascii="宋体" w:hAnsi="宋体" w:eastAsia="宋体" w:cs="宋体"/>
          <w:b/>
          <w:bCs/>
          <w:kern w:val="0"/>
          <w:sz w:val="18"/>
          <w:szCs w:val="18"/>
          <w:lang w:val="en-US" w:eastAsia="zh-CN" w:bidi="ar"/>
        </w:rPr>
        <w:t xml:space="preserve">      </w:t>
      </w:r>
      <w:r>
        <w:rPr>
          <w:rFonts w:ascii="宋体" w:hAnsi="宋体" w:eastAsia="宋体" w:cs="宋体"/>
          <w:kern w:val="0"/>
          <w:sz w:val="18"/>
          <w:szCs w:val="18"/>
          <w:lang w:val="en-US" w:eastAsia="zh-CN" w:bidi="ar"/>
        </w:rPr>
        <w:t xml:space="preserve">经营者不得实施下列侵犯商业秘密的行为： （一）以盗窃、贿赂、欺诈、胁迫、电子侵入或者其他不正当手段获取权利人的商业秘密； （二）披露、使用或者允许他人使用以前项手段获取的权利人的商业秘密； （三）违反保密义务或者违反权利人有关保守商业秘密的要求，披露、使用或者允许他人使用其所掌握的商业秘密； （四）教唆、引诱、帮助他人违反保密义务或者违反权利人有关保守商业秘密的要求，获取、披露、使用或者允许他人使用权利人的商业秘密。 </w:t>
      </w:r>
    </w:p>
    <w:p>
      <w:pPr>
        <w:widowControl/>
        <w:numPr>
          <w:ilvl w:val="0"/>
          <w:numId w:val="0"/>
        </w:numPr>
        <w:jc w:val="left"/>
        <w:rPr>
          <w:rFonts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w:t>
      </w:r>
      <w:r>
        <w:rPr>
          <w:rFonts w:ascii="宋体" w:hAnsi="宋体" w:eastAsia="宋体" w:cs="宋体"/>
          <w:kern w:val="0"/>
          <w:sz w:val="18"/>
          <w:szCs w:val="18"/>
          <w:lang w:val="en-US" w:eastAsia="zh-CN" w:bidi="ar"/>
        </w:rPr>
        <w:t xml:space="preserve">经营者以外的其他自然人、法人和非法人组织实施前款所列违法行为的，视为侵犯商业秘密。 第三人明知或者应知商业秘密权利人的员工、前员工或者其他单位、个人实施本条第一款所列违法行为，仍获取、披露、使用或者允许他人使用该商业秘密的，视为侵犯商业秘密。 </w:t>
      </w:r>
    </w:p>
    <w:p>
      <w:pPr>
        <w:widowControl/>
        <w:numPr>
          <w:ilvl w:val="0"/>
          <w:numId w:val="0"/>
        </w:numPr>
        <w:jc w:val="left"/>
        <w:rPr>
          <w:rFonts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w:t>
      </w:r>
      <w:r>
        <w:rPr>
          <w:rFonts w:ascii="宋体" w:hAnsi="宋体" w:eastAsia="宋体" w:cs="宋体"/>
          <w:kern w:val="0"/>
          <w:sz w:val="18"/>
          <w:szCs w:val="18"/>
          <w:lang w:val="en-US" w:eastAsia="zh-CN" w:bidi="ar"/>
        </w:rPr>
        <w:t>本法所称的商业秘密，是指不为公众所知悉、具有商业价值并经权利人采取相应保密措施的技术信息、经营信息等商业信息。</w:t>
      </w:r>
    </w:p>
    <w:p>
      <w:pPr>
        <w:widowControl/>
        <w:numPr>
          <w:ilvl w:val="0"/>
          <w:numId w:val="0"/>
        </w:numPr>
        <w:jc w:val="left"/>
        <w:rPr>
          <w:rFonts w:ascii="宋体" w:hAnsi="宋体" w:eastAsia="宋体" w:cs="宋体"/>
          <w:kern w:val="0"/>
          <w:sz w:val="18"/>
          <w:szCs w:val="18"/>
          <w:lang w:val="en-US" w:eastAsia="zh-CN" w:bidi="ar"/>
        </w:rPr>
      </w:pPr>
      <w:r>
        <w:rPr>
          <w:rFonts w:ascii="宋体" w:hAnsi="宋体" w:eastAsia="宋体" w:cs="宋体"/>
          <w:b/>
          <w:bCs/>
          <w:kern w:val="0"/>
          <w:sz w:val="18"/>
          <w:szCs w:val="18"/>
          <w:lang w:val="en-US" w:eastAsia="zh-CN" w:bidi="ar"/>
        </w:rPr>
        <w:t>第十条</w:t>
      </w:r>
      <w:r>
        <w:rPr>
          <w:rFonts w:hint="eastAsia" w:ascii="宋体" w:hAnsi="宋体" w:eastAsia="宋体" w:cs="宋体"/>
          <w:b/>
          <w:bCs/>
          <w:kern w:val="0"/>
          <w:sz w:val="18"/>
          <w:szCs w:val="18"/>
          <w:lang w:val="en-US" w:eastAsia="zh-CN" w:bidi="ar"/>
        </w:rPr>
        <w:t xml:space="preserve">      </w:t>
      </w:r>
      <w:r>
        <w:rPr>
          <w:rFonts w:ascii="宋体" w:hAnsi="宋体" w:eastAsia="宋体" w:cs="宋体"/>
          <w:kern w:val="0"/>
          <w:sz w:val="18"/>
          <w:szCs w:val="18"/>
          <w:lang w:val="en-US" w:eastAsia="zh-CN" w:bidi="ar"/>
        </w:rPr>
        <w:t>经营者进行有奖销售不得存在下列情形： （一）所设奖的种类、兑奖条件、奖金金额或者奖品等有奖销售信息不明确，影响兑奖； （二）采用谎称有奖或者故意让内定人员中奖的欺骗方式进行有奖销售； （三）抽奖式的有奖销售，最高奖的金额超过五万元。</w:t>
      </w:r>
    </w:p>
    <w:p>
      <w:pPr>
        <w:widowControl/>
        <w:numPr>
          <w:ilvl w:val="0"/>
          <w:numId w:val="0"/>
        </w:numPr>
        <w:jc w:val="left"/>
        <w:rPr>
          <w:rFonts w:ascii="宋体" w:hAnsi="宋体" w:eastAsia="宋体" w:cs="宋体"/>
          <w:kern w:val="0"/>
          <w:sz w:val="18"/>
          <w:szCs w:val="18"/>
          <w:lang w:val="en-US" w:eastAsia="zh-CN" w:bidi="ar"/>
        </w:rPr>
      </w:pPr>
      <w:r>
        <w:rPr>
          <w:rFonts w:ascii="宋体" w:hAnsi="宋体" w:eastAsia="宋体" w:cs="宋体"/>
          <w:b/>
          <w:bCs/>
          <w:kern w:val="0"/>
          <w:sz w:val="18"/>
          <w:szCs w:val="18"/>
          <w:lang w:val="en-US" w:eastAsia="zh-CN" w:bidi="ar"/>
        </w:rPr>
        <w:t>第十一条</w:t>
      </w:r>
      <w:r>
        <w:rPr>
          <w:rFonts w:hint="eastAsia" w:ascii="宋体" w:hAnsi="宋体" w:eastAsia="宋体" w:cs="宋体"/>
          <w:b/>
          <w:bCs/>
          <w:kern w:val="0"/>
          <w:sz w:val="18"/>
          <w:szCs w:val="18"/>
          <w:lang w:val="en-US" w:eastAsia="zh-CN" w:bidi="ar"/>
        </w:rPr>
        <w:t xml:space="preserve">    </w:t>
      </w:r>
      <w:r>
        <w:rPr>
          <w:rFonts w:ascii="宋体" w:hAnsi="宋体" w:eastAsia="宋体" w:cs="宋体"/>
          <w:kern w:val="0"/>
          <w:sz w:val="18"/>
          <w:szCs w:val="18"/>
          <w:lang w:val="en-US" w:eastAsia="zh-CN" w:bidi="ar"/>
        </w:rPr>
        <w:t>经营者不得编造、传播虚假信息或者误导性信息，损害竞争对手的商业信誉、商品声誉。</w:t>
      </w:r>
    </w:p>
    <w:p>
      <w:pPr>
        <w:widowControl/>
        <w:numPr>
          <w:ilvl w:val="0"/>
          <w:numId w:val="0"/>
        </w:numPr>
        <w:jc w:val="left"/>
        <w:rPr>
          <w:sz w:val="18"/>
          <w:szCs w:val="18"/>
        </w:rPr>
      </w:pPr>
      <w:r>
        <w:rPr>
          <w:rFonts w:ascii="宋体" w:hAnsi="宋体" w:eastAsia="宋体" w:cs="宋体"/>
          <w:b/>
          <w:bCs/>
          <w:kern w:val="0"/>
          <w:sz w:val="18"/>
          <w:szCs w:val="18"/>
          <w:lang w:val="en-US" w:eastAsia="zh-CN" w:bidi="ar"/>
        </w:rPr>
        <w:t>第十二条</w:t>
      </w:r>
      <w:r>
        <w:rPr>
          <w:rFonts w:hint="eastAsia" w:ascii="宋体" w:hAnsi="宋体" w:eastAsia="宋体" w:cs="宋体"/>
          <w:b/>
          <w:bCs/>
          <w:kern w:val="0"/>
          <w:sz w:val="18"/>
          <w:szCs w:val="18"/>
          <w:lang w:val="en-US" w:eastAsia="zh-CN" w:bidi="ar"/>
        </w:rPr>
        <w:t xml:space="preserve">    </w:t>
      </w:r>
      <w:r>
        <w:rPr>
          <w:rFonts w:ascii="宋体" w:hAnsi="宋体" w:eastAsia="宋体" w:cs="宋体"/>
          <w:kern w:val="0"/>
          <w:sz w:val="18"/>
          <w:szCs w:val="18"/>
          <w:lang w:val="en-US" w:eastAsia="zh-CN" w:bidi="ar"/>
        </w:rPr>
        <w:t>经营者利用网络从事生产经营活动，应当遵守本法的各项规定。 经营者不得利用技术手段，通过影响用户选择或者其他方式，实施下列妨碍、破坏其他经营者合法提供的网络产品或者服务正常运行的行为： （一）未经其他经营者同意，在其合法提供的网络产品或者服务中，插入链接、强制进行目标跳转； （二）误导、欺骗、强迫用户修改、关闭、卸载其他经营者合法提供的网络产品或者服务； （三）恶意对其他经营者合法提供的网络产品或者服务实施不兼容； （四）其他妨碍、破坏其他经营者合法提供的网络产品或者服务正常运行的行为。</w:t>
      </w:r>
    </w:p>
    <w:p>
      <w:pPr>
        <w:spacing w:line="240" w:lineRule="auto"/>
        <w:rPr>
          <w:rFonts w:hint="default" w:ascii="宋体" w:hAnsi="宋体" w:eastAsia="宋体" w:cs="宋体"/>
          <w:b/>
          <w:bCs/>
          <w:sz w:val="18"/>
          <w:szCs w:val="18"/>
          <w:lang w:val="en-US" w:eastAsia="zh-CN"/>
        </w:rPr>
      </w:pPr>
    </w:p>
    <w:sectPr>
      <w:pgSz w:w="11906" w:h="16838"/>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05485"/>
    <w:rsid w:val="45512D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barracuda</cp:lastModifiedBy>
  <dcterms:modified xsi:type="dcterms:W3CDTF">2022-03-17T05:28:30Z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8F21AC6527E44D2490F646D598B4A9CE</vt:lpwstr>
  </property>
</Properties>
</file>